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18CC4" w14:textId="77777777" w:rsidR="00CE58FC" w:rsidRDefault="006629D8">
      <w:pPr>
        <w:kinsoku w:val="0"/>
        <w:overflowPunct w:val="0"/>
        <w:autoSpaceDE/>
        <w:autoSpaceDN/>
        <w:adjustRightInd/>
        <w:spacing w:before="1" w:line="259"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 TAT-3666-2019</w:t>
      </w:r>
    </w:p>
    <w:p w14:paraId="65B2253A" w14:textId="77777777" w:rsidR="00CE58FC" w:rsidRDefault="006629D8">
      <w:pPr>
        <w:kinsoku w:val="0"/>
        <w:overflowPunct w:val="0"/>
        <w:autoSpaceDE/>
        <w:autoSpaceDN/>
        <w:adjustRightInd/>
        <w:spacing w:before="537"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diez minutos del dieciséis de octubre de dos mil diecinueve.</w:t>
      </w:r>
    </w:p>
    <w:p w14:paraId="7E4AFCCE" w14:textId="77777777" w:rsidR="00CE58FC" w:rsidRDefault="006629D8">
      <w:pPr>
        <w:kinsoku w:val="0"/>
        <w:overflowPunct w:val="0"/>
        <w:autoSpaceDE/>
        <w:autoSpaceDN/>
        <w:adjustRightInd/>
        <w:spacing w:before="262" w:line="269" w:lineRule="exact"/>
        <w:ind w:left="72" w:right="144"/>
        <w:jc w:val="both"/>
        <w:textAlignment w:val="baseline"/>
        <w:rPr>
          <w:rFonts w:ascii="Verdana" w:hAnsi="Verdana" w:cs="Verdana"/>
          <w:b/>
          <w:bCs/>
          <w:spacing w:val="-7"/>
          <w:sz w:val="22"/>
          <w:szCs w:val="22"/>
          <w:lang w:val="es-ES" w:eastAsia="es-ES"/>
        </w:rPr>
      </w:pPr>
      <w:r>
        <w:rPr>
          <w:rFonts w:ascii="Verdana" w:hAnsi="Verdana" w:cs="Verdana"/>
          <w:b/>
          <w:bCs/>
          <w:spacing w:val="-7"/>
          <w:sz w:val="22"/>
          <w:szCs w:val="22"/>
          <w:lang w:val="es-ES" w:eastAsia="es-ES"/>
        </w:rPr>
        <w:t xml:space="preserve">RECURSO DE APELACIÓN EN SUBSIDIO, </w:t>
      </w:r>
      <w:r>
        <w:rPr>
          <w:rFonts w:ascii="Verdana" w:hAnsi="Verdana" w:cs="Verdana"/>
          <w:spacing w:val="-7"/>
          <w:sz w:val="22"/>
          <w:szCs w:val="22"/>
          <w:lang w:val="es-ES" w:eastAsia="es-ES"/>
        </w:rPr>
        <w:t xml:space="preserve">interpuesto por la señora </w:t>
      </w:r>
      <w:r>
        <w:rPr>
          <w:rFonts w:ascii="Verdana" w:hAnsi="Verdana" w:cs="Verdana"/>
          <w:b/>
          <w:bCs/>
          <w:spacing w:val="-7"/>
          <w:sz w:val="22"/>
          <w:szCs w:val="22"/>
          <w:lang w:val="es-ES" w:eastAsia="es-ES"/>
        </w:rPr>
        <w:t>G</w:t>
      </w:r>
      <w:r w:rsidR="00B56A56">
        <w:rPr>
          <w:rFonts w:ascii="Verdana" w:hAnsi="Verdana" w:cs="Verdana"/>
          <w:b/>
          <w:bCs/>
          <w:spacing w:val="-7"/>
          <w:sz w:val="22"/>
          <w:szCs w:val="22"/>
          <w:lang w:val="es-ES" w:eastAsia="es-ES"/>
        </w:rPr>
        <w:t>.L.N.P.</w:t>
      </w:r>
      <w:r>
        <w:rPr>
          <w:rFonts w:ascii="Verdana" w:hAnsi="Verdana" w:cs="Verdana"/>
          <w:b/>
          <w:bCs/>
          <w:spacing w:val="-7"/>
          <w:sz w:val="22"/>
          <w:szCs w:val="22"/>
          <w:lang w:val="es-ES" w:eastAsia="es-ES"/>
        </w:rPr>
        <w:t xml:space="preserve">, cédula de identidad </w:t>
      </w:r>
      <w:r w:rsidR="00B56A56">
        <w:rPr>
          <w:rFonts w:ascii="Verdana" w:hAnsi="Verdana" w:cs="Verdana"/>
          <w:b/>
          <w:bCs/>
          <w:spacing w:val="-7"/>
          <w:sz w:val="22"/>
          <w:szCs w:val="22"/>
          <w:lang w:val="es-ES" w:eastAsia="es-ES"/>
        </w:rPr>
        <w:t>…</w:t>
      </w:r>
      <w:r>
        <w:rPr>
          <w:rFonts w:ascii="Verdana" w:hAnsi="Verdana" w:cs="Verdana"/>
          <w:b/>
          <w:bCs/>
          <w:spacing w:val="-7"/>
          <w:sz w:val="22"/>
          <w:szCs w:val="22"/>
          <w:lang w:val="es-ES" w:eastAsia="es-ES"/>
        </w:rPr>
        <w:t>, por medio de su Apoderado Especial Administrativo, L.R</w:t>
      </w:r>
      <w:r w:rsidR="00B56A56">
        <w:rPr>
          <w:rFonts w:ascii="Verdana" w:hAnsi="Verdana" w:cs="Verdana"/>
          <w:b/>
          <w:bCs/>
          <w:spacing w:val="-7"/>
          <w:sz w:val="22"/>
          <w:szCs w:val="22"/>
          <w:lang w:val="es-ES" w:eastAsia="es-ES"/>
        </w:rPr>
        <w:t>.A.P.</w:t>
      </w:r>
      <w:r>
        <w:rPr>
          <w:rFonts w:ascii="Verdana" w:hAnsi="Verdana" w:cs="Verdana"/>
          <w:b/>
          <w:bCs/>
          <w:spacing w:val="-7"/>
          <w:sz w:val="22"/>
          <w:szCs w:val="22"/>
          <w:lang w:val="es-ES" w:eastAsia="es-ES"/>
        </w:rPr>
        <w:t xml:space="preserve">, cédula de identidad número </w:t>
      </w:r>
      <w:r w:rsidR="00B56A56">
        <w:rPr>
          <w:rFonts w:ascii="Verdana" w:hAnsi="Verdana" w:cs="Verdana"/>
          <w:b/>
          <w:bCs/>
          <w:spacing w:val="-7"/>
          <w:sz w:val="22"/>
          <w:szCs w:val="22"/>
          <w:lang w:val="es-ES" w:eastAsia="es-ES"/>
        </w:rPr>
        <w:t>…</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 xml:space="preserve">contra el </w:t>
      </w:r>
      <w:r>
        <w:rPr>
          <w:rFonts w:ascii="Verdana" w:hAnsi="Verdana" w:cs="Verdana"/>
          <w:b/>
          <w:bCs/>
          <w:spacing w:val="-7"/>
          <w:sz w:val="22"/>
          <w:szCs w:val="22"/>
          <w:lang w:val="es-ES" w:eastAsia="es-ES"/>
        </w:rPr>
        <w:t xml:space="preserve">Artículo 7.6 de la Sesión Ordinaria 28-2018 de 4 de setiembre de 2018 </w:t>
      </w:r>
      <w:r>
        <w:rPr>
          <w:rFonts w:ascii="Verdana" w:hAnsi="Verdana" w:cs="Verdana"/>
          <w:spacing w:val="-7"/>
          <w:sz w:val="22"/>
          <w:szCs w:val="22"/>
          <w:lang w:val="es-ES" w:eastAsia="es-ES"/>
        </w:rPr>
        <w:t xml:space="preserve">dictado por la JUNTA DIRECTIVA DEL CONSEJO DE TRANSPORTE PÚBLICO. </w:t>
      </w:r>
      <w:r>
        <w:rPr>
          <w:rFonts w:ascii="Verdana" w:hAnsi="Verdana" w:cs="Verdana"/>
          <w:b/>
          <w:bCs/>
          <w:spacing w:val="-7"/>
          <w:sz w:val="22"/>
          <w:szCs w:val="22"/>
          <w:lang w:val="es-ES" w:eastAsia="es-ES"/>
        </w:rPr>
        <w:t>EL caso es tramitado bajo Expediente Administrativo No. TAT-069-19.</w:t>
      </w:r>
    </w:p>
    <w:p w14:paraId="1DD169C4" w14:textId="77777777" w:rsidR="00CE58FC" w:rsidRDefault="006629D8">
      <w:pPr>
        <w:kinsoku w:val="0"/>
        <w:overflowPunct w:val="0"/>
        <w:autoSpaceDE/>
        <w:autoSpaceDN/>
        <w:adjustRightInd/>
        <w:spacing w:before="537" w:line="259"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14:paraId="05D352A8" w14:textId="77777777" w:rsidR="00CE58FC" w:rsidRDefault="006629D8">
      <w:pPr>
        <w:kinsoku w:val="0"/>
        <w:overflowPunct w:val="0"/>
        <w:autoSpaceDE/>
        <w:autoSpaceDN/>
        <w:adjustRightInd/>
        <w:spacing w:before="539"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7.6 de la Sesión Ordinaria 28-2018 de 4 de setiembre de 2018, </w:t>
      </w:r>
      <w:r>
        <w:rPr>
          <w:rFonts w:ascii="Verdana" w:hAnsi="Verdana" w:cs="Verdana"/>
          <w:sz w:val="22"/>
          <w:szCs w:val="22"/>
          <w:lang w:val="es-ES" w:eastAsia="es-ES"/>
        </w:rPr>
        <w:t xml:space="preserve">conoce y avala el informe de la dirección de Asuntos Jurídicos </w:t>
      </w:r>
      <w:r>
        <w:rPr>
          <w:rFonts w:ascii="Verdana" w:hAnsi="Verdana" w:cs="Verdana"/>
          <w:b/>
          <w:bCs/>
          <w:sz w:val="22"/>
          <w:szCs w:val="22"/>
          <w:lang w:val="es-ES" w:eastAsia="es-ES"/>
        </w:rPr>
        <w:t>DA</w:t>
      </w:r>
      <w:r w:rsidR="00B56A56">
        <w:rPr>
          <w:rFonts w:ascii="Verdana" w:hAnsi="Verdana" w:cs="Verdana"/>
          <w:b/>
          <w:bCs/>
          <w:sz w:val="22"/>
          <w:szCs w:val="22"/>
          <w:lang w:val="es-ES" w:eastAsia="es-ES"/>
        </w:rPr>
        <w:t>F</w:t>
      </w:r>
      <w:r>
        <w:rPr>
          <w:rFonts w:ascii="Verdana" w:hAnsi="Verdana" w:cs="Verdana"/>
          <w:b/>
          <w:bCs/>
          <w:sz w:val="22"/>
          <w:szCs w:val="22"/>
          <w:lang w:val="es-ES" w:eastAsia="es-ES"/>
        </w:rPr>
        <w:t xml:space="preserve">-INF-2018-0235 de 5 de junio de 2018, </w:t>
      </w:r>
      <w:r>
        <w:rPr>
          <w:rFonts w:ascii="Verdana" w:hAnsi="Verdana" w:cs="Verdana"/>
          <w:sz w:val="22"/>
          <w:szCs w:val="22"/>
          <w:lang w:val="es-ES" w:eastAsia="es-ES"/>
        </w:rPr>
        <w:t xml:space="preserve">y determina rechazar la solicitud presentada por la señora </w:t>
      </w:r>
      <w:r>
        <w:rPr>
          <w:rFonts w:ascii="Verdana" w:hAnsi="Verdana" w:cs="Verdana"/>
          <w:b/>
          <w:bCs/>
          <w:sz w:val="22"/>
          <w:szCs w:val="22"/>
          <w:lang w:val="es-ES" w:eastAsia="es-ES"/>
        </w:rPr>
        <w:t>G</w:t>
      </w:r>
      <w:r w:rsidR="00B56A56">
        <w:rPr>
          <w:rFonts w:ascii="Verdana" w:hAnsi="Verdana" w:cs="Verdana"/>
          <w:b/>
          <w:bCs/>
          <w:sz w:val="22"/>
          <w:szCs w:val="22"/>
          <w:lang w:val="es-ES" w:eastAsia="es-ES"/>
        </w:rPr>
        <w:t>.L.N.P.</w:t>
      </w:r>
      <w:r>
        <w:rPr>
          <w:rFonts w:ascii="Verdana" w:hAnsi="Verdana" w:cs="Verdana"/>
          <w:b/>
          <w:bCs/>
          <w:sz w:val="22"/>
          <w:szCs w:val="22"/>
          <w:lang w:val="es-ES" w:eastAsia="es-ES"/>
        </w:rPr>
        <w:t xml:space="preserve">, cédula de identidad </w:t>
      </w:r>
      <w:r w:rsidR="00B56A56">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para que se le transfiriera a su favor la concesión administrativa, de la placa de taxi </w:t>
      </w:r>
      <w:r>
        <w:rPr>
          <w:rFonts w:ascii="Verdana" w:hAnsi="Verdana" w:cs="Verdana"/>
          <w:b/>
          <w:bCs/>
          <w:sz w:val="22"/>
          <w:szCs w:val="22"/>
          <w:lang w:val="es-ES" w:eastAsia="es-ES"/>
        </w:rPr>
        <w:t>T</w:t>
      </w:r>
      <w:r w:rsidR="00B56A56">
        <w:rPr>
          <w:rFonts w:ascii="Verdana" w:hAnsi="Verdana" w:cs="Verdana"/>
          <w:b/>
          <w:bCs/>
          <w:sz w:val="22"/>
          <w:szCs w:val="22"/>
          <w:lang w:val="es-ES" w:eastAsia="es-ES"/>
        </w:rPr>
        <w:t>SJ</w:t>
      </w:r>
      <w:r>
        <w:rPr>
          <w:rFonts w:ascii="Verdana" w:hAnsi="Verdana" w:cs="Verdana"/>
          <w:b/>
          <w:bCs/>
          <w:sz w:val="22"/>
          <w:szCs w:val="22"/>
          <w:lang w:val="es-ES" w:eastAsia="es-ES"/>
        </w:rPr>
        <w:t>-</w:t>
      </w:r>
      <w:r w:rsidR="00B56A56">
        <w:rPr>
          <w:rFonts w:ascii="Verdana" w:hAnsi="Verdana" w:cs="Verdana"/>
          <w:b/>
          <w:bCs/>
          <w:sz w:val="22"/>
          <w:szCs w:val="22"/>
          <w:lang w:val="es-ES" w:eastAsia="es-ES"/>
        </w:rPr>
        <w:t>XXXXX</w:t>
      </w:r>
      <w:r>
        <w:rPr>
          <w:rFonts w:ascii="Verdana" w:hAnsi="Verdana" w:cs="Verdana"/>
          <w:b/>
          <w:bCs/>
          <w:sz w:val="22"/>
          <w:szCs w:val="22"/>
          <w:lang w:val="es-ES" w:eastAsia="es-ES"/>
        </w:rPr>
        <w:t xml:space="preserve"> del concesionario C</w:t>
      </w:r>
      <w:r w:rsidR="00B56A56">
        <w:rPr>
          <w:rFonts w:ascii="Verdana" w:hAnsi="Verdana" w:cs="Verdana"/>
          <w:b/>
          <w:bCs/>
          <w:sz w:val="22"/>
          <w:szCs w:val="22"/>
          <w:lang w:val="es-ES" w:eastAsia="es-ES"/>
        </w:rPr>
        <w:t>.A.Z.V.</w:t>
      </w:r>
      <w:r>
        <w:rPr>
          <w:rFonts w:ascii="Verdana" w:hAnsi="Verdana" w:cs="Verdana"/>
          <w:b/>
          <w:bCs/>
          <w:sz w:val="22"/>
          <w:szCs w:val="22"/>
          <w:lang w:val="es-ES" w:eastAsia="es-ES"/>
        </w:rPr>
        <w:t xml:space="preserve">, en los términos de la Ley 9027. </w:t>
      </w:r>
      <w:r>
        <w:rPr>
          <w:rFonts w:ascii="Verdana" w:hAnsi="Verdana" w:cs="Verdana"/>
          <w:sz w:val="22"/>
          <w:szCs w:val="22"/>
          <w:lang w:val="es-ES" w:eastAsia="es-ES"/>
        </w:rPr>
        <w:t>(Léanse folios del 10 al 14 del expediente administrativo)</w:t>
      </w:r>
    </w:p>
    <w:p w14:paraId="1716B154" w14:textId="77777777" w:rsidR="00CE58FC" w:rsidRDefault="006629D8" w:rsidP="00B56A56">
      <w:pPr>
        <w:kinsoku w:val="0"/>
        <w:overflowPunct w:val="0"/>
        <w:autoSpaceDE/>
        <w:autoSpaceDN/>
        <w:adjustRightInd/>
        <w:spacing w:before="286"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El L</w:t>
      </w:r>
      <w:r w:rsidR="00B56A56">
        <w:rPr>
          <w:rFonts w:ascii="Verdana" w:hAnsi="Verdana" w:cs="Verdana"/>
          <w:sz w:val="22"/>
          <w:szCs w:val="22"/>
          <w:lang w:val="es-ES" w:eastAsia="es-ES"/>
        </w:rPr>
        <w:t>.R.A.P.</w:t>
      </w:r>
      <w:r>
        <w:rPr>
          <w:rFonts w:ascii="Verdana" w:hAnsi="Verdana" w:cs="Verdana"/>
          <w:sz w:val="22"/>
          <w:szCs w:val="22"/>
          <w:lang w:val="es-ES" w:eastAsia="es-ES"/>
        </w:rPr>
        <w:t xml:space="preserve">, en representación de la señora </w:t>
      </w:r>
      <w:r>
        <w:rPr>
          <w:rFonts w:ascii="Verdana" w:hAnsi="Verdana" w:cs="Verdana"/>
          <w:b/>
          <w:bCs/>
          <w:sz w:val="22"/>
          <w:szCs w:val="22"/>
          <w:lang w:val="es-ES" w:eastAsia="es-ES"/>
        </w:rPr>
        <w:t>G</w:t>
      </w:r>
      <w:r w:rsidR="00B56A56">
        <w:rPr>
          <w:rFonts w:ascii="Verdana" w:hAnsi="Verdana" w:cs="Verdana"/>
          <w:b/>
          <w:bCs/>
          <w:sz w:val="22"/>
          <w:szCs w:val="22"/>
          <w:lang w:val="es-ES" w:eastAsia="es-ES"/>
        </w:rPr>
        <w:t>.L.N.P.</w:t>
      </w:r>
      <w:r>
        <w:rPr>
          <w:rFonts w:ascii="Verdana" w:hAnsi="Verdana" w:cs="Verdana"/>
          <w:b/>
          <w:bCs/>
          <w:sz w:val="22"/>
          <w:szCs w:val="22"/>
          <w:lang w:val="es-ES" w:eastAsia="es-ES"/>
        </w:rPr>
        <w:t xml:space="preserve">, cédula de identidad </w:t>
      </w:r>
      <w:r w:rsidR="00B56A56">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Recurre el acto impugnado, manifestando que la designación de beneficiario se realizó por el causante, señor </w:t>
      </w:r>
      <w:r>
        <w:rPr>
          <w:rFonts w:ascii="Verdana" w:hAnsi="Verdana" w:cs="Verdana"/>
          <w:b/>
          <w:bCs/>
          <w:sz w:val="22"/>
          <w:szCs w:val="22"/>
          <w:lang w:val="es-ES" w:eastAsia="es-ES"/>
        </w:rPr>
        <w:t>C</w:t>
      </w:r>
      <w:r w:rsidR="00B56A56">
        <w:rPr>
          <w:rFonts w:ascii="Verdana" w:hAnsi="Verdana" w:cs="Verdana"/>
          <w:b/>
          <w:bCs/>
          <w:sz w:val="22"/>
          <w:szCs w:val="22"/>
          <w:lang w:val="es-ES" w:eastAsia="es-ES"/>
        </w:rPr>
        <w:t>.A.Z.V.</w:t>
      </w:r>
      <w:r>
        <w:rPr>
          <w:rFonts w:ascii="Verdana" w:hAnsi="Verdana" w:cs="Verdana"/>
          <w:b/>
          <w:bCs/>
          <w:sz w:val="22"/>
          <w:szCs w:val="22"/>
          <w:lang w:val="es-ES" w:eastAsia="es-ES"/>
        </w:rPr>
        <w:t xml:space="preserve"> concesionario del taxi TS</w:t>
      </w:r>
      <w:r w:rsidR="00B56A56">
        <w:rPr>
          <w:rFonts w:ascii="Verdana" w:hAnsi="Verdana" w:cs="Verdana"/>
          <w:b/>
          <w:bCs/>
          <w:sz w:val="22"/>
          <w:szCs w:val="22"/>
          <w:lang w:val="es-ES" w:eastAsia="es-ES"/>
        </w:rPr>
        <w:t>J</w:t>
      </w:r>
      <w:r>
        <w:rPr>
          <w:rFonts w:ascii="Verdana" w:hAnsi="Verdana" w:cs="Verdana"/>
          <w:b/>
          <w:bCs/>
          <w:sz w:val="22"/>
          <w:szCs w:val="22"/>
          <w:lang w:val="es-ES" w:eastAsia="es-ES"/>
        </w:rPr>
        <w:t>-</w:t>
      </w:r>
      <w:r w:rsidR="00B56A56">
        <w:rPr>
          <w:rFonts w:ascii="Verdana" w:hAnsi="Verdana" w:cs="Verdana"/>
          <w:b/>
          <w:bCs/>
          <w:sz w:val="22"/>
          <w:szCs w:val="22"/>
          <w:lang w:val="es-ES" w:eastAsia="es-ES"/>
        </w:rPr>
        <w:t>XXXX</w:t>
      </w:r>
      <w:r>
        <w:rPr>
          <w:rFonts w:ascii="Verdana" w:hAnsi="Verdana" w:cs="Verdana"/>
          <w:b/>
          <w:bCs/>
          <w:sz w:val="22"/>
          <w:szCs w:val="22"/>
          <w:lang w:val="es-ES" w:eastAsia="es-ES"/>
        </w:rPr>
        <w:t xml:space="preserve">, desde el 20 de diciembre de 2013, </w:t>
      </w:r>
      <w:r>
        <w:rPr>
          <w:rFonts w:ascii="Verdana" w:hAnsi="Verdana" w:cs="Verdana"/>
          <w:sz w:val="22"/>
          <w:szCs w:val="22"/>
          <w:lang w:val="es-ES" w:eastAsia="es-ES"/>
        </w:rPr>
        <w:t>la recurrente encuentra el documento dentro de los asuntos personales que el señor Z</w:t>
      </w:r>
      <w:r w:rsidR="00B56A56">
        <w:rPr>
          <w:rFonts w:ascii="Verdana" w:hAnsi="Verdana" w:cs="Verdana"/>
          <w:sz w:val="22"/>
          <w:szCs w:val="22"/>
          <w:lang w:val="es-ES" w:eastAsia="es-ES"/>
        </w:rPr>
        <w:t xml:space="preserve">.V. </w:t>
      </w:r>
      <w:r>
        <w:rPr>
          <w:rFonts w:ascii="Verdana" w:hAnsi="Verdana" w:cs="Verdana"/>
          <w:sz w:val="22"/>
          <w:szCs w:val="22"/>
          <w:lang w:val="es-ES" w:eastAsia="es-ES"/>
        </w:rPr>
        <w:t>guardaba celosamente y lo presenta ante el Consejo de Transporte</w:t>
      </w:r>
      <w:r w:rsidR="00B56A56">
        <w:rPr>
          <w:rFonts w:ascii="Verdana" w:hAnsi="Verdana" w:cs="Verdana"/>
          <w:sz w:val="22"/>
          <w:szCs w:val="22"/>
          <w:lang w:val="es-ES" w:eastAsia="es-ES"/>
        </w:rPr>
        <w:t xml:space="preserve"> </w:t>
      </w:r>
      <w:r>
        <w:rPr>
          <w:rFonts w:ascii="Verdana" w:hAnsi="Verdana" w:cs="Verdana"/>
          <w:sz w:val="22"/>
          <w:szCs w:val="22"/>
          <w:lang w:val="es-ES" w:eastAsia="es-ES"/>
        </w:rPr>
        <w:t>Público.</w:t>
      </w:r>
      <w:r w:rsidR="00B56A56">
        <w:rPr>
          <w:rFonts w:ascii="Verdana" w:hAnsi="Verdana" w:cs="Verdana"/>
          <w:sz w:val="22"/>
          <w:szCs w:val="22"/>
          <w:lang w:val="es-ES" w:eastAsia="es-ES"/>
        </w:rPr>
        <w:t xml:space="preserve"> </w:t>
      </w:r>
      <w:r>
        <w:rPr>
          <w:rFonts w:ascii="Verdana" w:hAnsi="Verdana" w:cs="Verdana"/>
          <w:sz w:val="22"/>
          <w:szCs w:val="22"/>
          <w:lang w:val="es-ES" w:eastAsia="es-ES"/>
        </w:rPr>
        <w:t xml:space="preserve">Que la Administración en ningún momento </w:t>
      </w:r>
      <w:proofErr w:type="spellStart"/>
      <w:r>
        <w:rPr>
          <w:rFonts w:ascii="Verdana" w:hAnsi="Verdana" w:cs="Verdana"/>
          <w:sz w:val="22"/>
          <w:szCs w:val="22"/>
          <w:lang w:val="es-ES" w:eastAsia="es-ES"/>
        </w:rPr>
        <w:t>esta</w:t>
      </w:r>
      <w:proofErr w:type="spellEnd"/>
      <w:r>
        <w:rPr>
          <w:rFonts w:ascii="Verdana" w:hAnsi="Verdana" w:cs="Verdana"/>
          <w:sz w:val="22"/>
          <w:szCs w:val="22"/>
          <w:lang w:val="es-ES" w:eastAsia="es-ES"/>
        </w:rPr>
        <w:t xml:space="preserve"> desconociendo la</w:t>
      </w:r>
      <w:r>
        <w:rPr>
          <w:rFonts w:ascii="Verdana" w:hAnsi="Verdana" w:cs="Verdana"/>
          <w:sz w:val="22"/>
          <w:szCs w:val="22"/>
          <w:lang w:val="es-ES" w:eastAsia="es-ES"/>
        </w:rPr>
        <w:br/>
        <w:t>validez del documento y si no se presentó antes es porque su representada no podría saber que debía hacerse, pero los elementos que el legislador plasmó en la Ley están cumplidos y lo que faltó es la fase de perfeccionamiento que perfectamente se puede subsanar. El rechazo de la gestión de su representada es desproporcionada, irracional, subjetiva y desequilibrada, por lo que solícita</w:t>
      </w:r>
    </w:p>
    <w:p w14:paraId="5C9DA321" w14:textId="77777777" w:rsidR="00CE58FC" w:rsidRDefault="00CE58FC">
      <w:pPr>
        <w:widowControl/>
        <w:rPr>
          <w:sz w:val="24"/>
          <w:szCs w:val="24"/>
        </w:rPr>
        <w:sectPr w:rsidR="00CE58FC">
          <w:pgSz w:w="12240" w:h="15840"/>
          <w:pgMar w:top="1480" w:right="1475" w:bottom="230" w:left="1685" w:header="720" w:footer="720" w:gutter="0"/>
          <w:cols w:space="720"/>
          <w:noEndnote/>
        </w:sectPr>
      </w:pPr>
    </w:p>
    <w:p w14:paraId="26880AFF" w14:textId="77777777" w:rsidR="00CE58FC" w:rsidRDefault="006629D8">
      <w:pPr>
        <w:kinsoku w:val="0"/>
        <w:overflowPunct w:val="0"/>
        <w:autoSpaceDE/>
        <w:autoSpaceDN/>
        <w:adjustRightInd/>
        <w:spacing w:before="11" w:line="265"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se apruebe la solicitud presentada. (Léanse folios del 7 vuelto al 9 del expediente administrativo).</w:t>
      </w:r>
    </w:p>
    <w:p w14:paraId="4C1AA297" w14:textId="77777777" w:rsidR="00CE58FC" w:rsidRDefault="006629D8">
      <w:pPr>
        <w:kinsoku w:val="0"/>
        <w:overflowPunct w:val="0"/>
        <w:autoSpaceDE/>
        <w:autoSpaceDN/>
        <w:adjustRightInd/>
        <w:spacing w:before="582" w:line="267" w:lineRule="exact"/>
        <w:ind w:left="144"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TERCERO: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7.6.1 de la Sesión Ordinaria 51-2019 de 27 de agosto de 2019, </w:t>
      </w:r>
      <w:r>
        <w:rPr>
          <w:rFonts w:ascii="Verdana" w:hAnsi="Verdana" w:cs="Verdana"/>
          <w:spacing w:val="-2"/>
          <w:sz w:val="22"/>
          <w:szCs w:val="22"/>
          <w:lang w:val="es-ES" w:eastAsia="es-ES"/>
        </w:rPr>
        <w:t xml:space="preserve">aprueba el informe de la </w:t>
      </w:r>
      <w:r>
        <w:rPr>
          <w:rFonts w:ascii="Verdana" w:hAnsi="Verdana" w:cs="Verdana"/>
          <w:b/>
          <w:bCs/>
          <w:spacing w:val="-2"/>
          <w:sz w:val="22"/>
          <w:szCs w:val="22"/>
          <w:lang w:val="es-ES" w:eastAsia="es-ES"/>
        </w:rPr>
        <w:t xml:space="preserve">Dirección de Asuntos Jurídicos el DAJ-2019-001278 de 13 de agosto de 2019 </w:t>
      </w:r>
      <w:r>
        <w:rPr>
          <w:rFonts w:ascii="Verdana" w:hAnsi="Verdana" w:cs="Verdana"/>
          <w:spacing w:val="-2"/>
          <w:sz w:val="22"/>
          <w:szCs w:val="22"/>
          <w:lang w:val="es-ES" w:eastAsia="es-ES"/>
        </w:rPr>
        <w:t>y rechaza el Recurso de Revocatoria por considerar que es improcedente, por incumplimiento del marco de Legalidad. (Léase folios del 1 al 6 del expediente administrativo).</w:t>
      </w:r>
    </w:p>
    <w:p w14:paraId="34DC5F69" w14:textId="77777777" w:rsidR="00CE58FC" w:rsidRDefault="006629D8">
      <w:pPr>
        <w:kinsoku w:val="0"/>
        <w:overflowPunct w:val="0"/>
        <w:autoSpaceDE/>
        <w:autoSpaceDN/>
        <w:adjustRightInd/>
        <w:spacing w:before="280" w:line="267"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En el expediente Administrativo consta documentos en el que se designa por parte del concesionario de la placa de taxi </w:t>
      </w:r>
      <w:r>
        <w:rPr>
          <w:rFonts w:ascii="Verdana" w:hAnsi="Verdana" w:cs="Verdana"/>
          <w:b/>
          <w:bCs/>
          <w:sz w:val="22"/>
          <w:szCs w:val="22"/>
          <w:lang w:val="es-ES" w:eastAsia="es-ES"/>
        </w:rPr>
        <w:t>TS</w:t>
      </w:r>
      <w:r w:rsidR="00B56A56">
        <w:rPr>
          <w:rFonts w:ascii="Verdana" w:hAnsi="Verdana" w:cs="Verdana"/>
          <w:b/>
          <w:bCs/>
          <w:sz w:val="22"/>
          <w:szCs w:val="22"/>
          <w:lang w:val="es-ES" w:eastAsia="es-ES"/>
        </w:rPr>
        <w:t>J</w:t>
      </w:r>
      <w:r>
        <w:rPr>
          <w:rFonts w:ascii="Verdana" w:hAnsi="Verdana" w:cs="Verdana"/>
          <w:b/>
          <w:bCs/>
          <w:sz w:val="22"/>
          <w:szCs w:val="22"/>
          <w:lang w:val="es-ES" w:eastAsia="es-ES"/>
        </w:rPr>
        <w:t xml:space="preserve"> </w:t>
      </w:r>
      <w:r w:rsidR="00B56A56">
        <w:rPr>
          <w:rFonts w:ascii="Verdana" w:hAnsi="Verdana" w:cs="Verdana"/>
          <w:b/>
          <w:bCs/>
          <w:sz w:val="22"/>
          <w:szCs w:val="22"/>
          <w:lang w:val="es-ES" w:eastAsia="es-ES"/>
        </w:rPr>
        <w:t>XXXX</w:t>
      </w:r>
      <w:r>
        <w:rPr>
          <w:rFonts w:ascii="Verdana" w:hAnsi="Verdana" w:cs="Verdana"/>
          <w:b/>
          <w:bCs/>
          <w:sz w:val="22"/>
          <w:szCs w:val="22"/>
          <w:lang w:val="es-ES" w:eastAsia="es-ES"/>
        </w:rPr>
        <w:t>, señor C</w:t>
      </w:r>
      <w:r w:rsidR="00B56A56">
        <w:rPr>
          <w:rFonts w:ascii="Verdana" w:hAnsi="Verdana" w:cs="Verdana"/>
          <w:b/>
          <w:bCs/>
          <w:sz w:val="22"/>
          <w:szCs w:val="22"/>
          <w:lang w:val="es-ES" w:eastAsia="es-ES"/>
        </w:rPr>
        <w:t>.A.Z.V.</w:t>
      </w:r>
      <w:r>
        <w:rPr>
          <w:rFonts w:ascii="Verdana" w:hAnsi="Verdana" w:cs="Verdana"/>
          <w:b/>
          <w:bCs/>
          <w:sz w:val="22"/>
          <w:szCs w:val="22"/>
          <w:lang w:val="es-ES" w:eastAsia="es-ES"/>
        </w:rPr>
        <w:t>, a la recurrente G</w:t>
      </w:r>
      <w:r w:rsidR="00B56A56">
        <w:rPr>
          <w:rFonts w:ascii="Verdana" w:hAnsi="Verdana" w:cs="Verdana"/>
          <w:b/>
          <w:bCs/>
          <w:sz w:val="22"/>
          <w:szCs w:val="22"/>
          <w:lang w:val="es-ES" w:eastAsia="es-ES"/>
        </w:rPr>
        <w:t>.L.N.P.</w:t>
      </w:r>
      <w:r>
        <w:rPr>
          <w:rFonts w:ascii="Verdana" w:hAnsi="Verdana" w:cs="Verdana"/>
          <w:b/>
          <w:bCs/>
          <w:sz w:val="22"/>
          <w:szCs w:val="22"/>
          <w:lang w:val="es-ES" w:eastAsia="es-ES"/>
        </w:rPr>
        <w:t xml:space="preserve">; </w:t>
      </w:r>
      <w:proofErr w:type="gramStart"/>
      <w:r>
        <w:rPr>
          <w:rFonts w:ascii="Verdana" w:hAnsi="Verdana" w:cs="Verdana"/>
          <w:sz w:val="22"/>
          <w:szCs w:val="22"/>
          <w:lang w:val="es-ES" w:eastAsia="es-ES"/>
        </w:rPr>
        <w:t>éste</w:t>
      </w:r>
      <w:proofErr w:type="gramEnd"/>
      <w:r>
        <w:rPr>
          <w:rFonts w:ascii="Verdana" w:hAnsi="Verdana" w:cs="Verdana"/>
          <w:sz w:val="22"/>
          <w:szCs w:val="22"/>
          <w:lang w:val="es-ES" w:eastAsia="es-ES"/>
        </w:rPr>
        <w:t xml:space="preserve"> documento fue presentado a ventanilla única del Consejo de Transporte Público el </w:t>
      </w:r>
      <w:r>
        <w:rPr>
          <w:rFonts w:ascii="Verdana" w:hAnsi="Verdana" w:cs="Verdana"/>
          <w:b/>
          <w:bCs/>
          <w:sz w:val="22"/>
          <w:szCs w:val="22"/>
          <w:lang w:val="es-ES" w:eastAsia="es-ES"/>
        </w:rPr>
        <w:t xml:space="preserve">9 de abril de 2018 a las 11:05 horas. </w:t>
      </w:r>
      <w:r>
        <w:rPr>
          <w:rFonts w:ascii="Verdana" w:hAnsi="Verdana" w:cs="Verdana"/>
          <w:sz w:val="22"/>
          <w:szCs w:val="22"/>
          <w:lang w:val="es-ES" w:eastAsia="es-ES"/>
        </w:rPr>
        <w:t>(Léase folio 14 vuelto y 15 del expediente administrativo)</w:t>
      </w:r>
    </w:p>
    <w:p w14:paraId="05450FD9" w14:textId="77777777" w:rsidR="00CE58FC" w:rsidRDefault="006629D8">
      <w:pPr>
        <w:kinsoku w:val="0"/>
        <w:overflowPunct w:val="0"/>
        <w:autoSpaceDE/>
        <w:autoSpaceDN/>
        <w:adjustRightInd/>
        <w:spacing w:before="267" w:line="267"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A folio 15 vuelto, del expediente administrativo consta informe de defunciones emitido por Tribunal Supremo de Elecciones, Registro Civil de Costa Rica, en la que se indica que el señor </w:t>
      </w:r>
      <w:r>
        <w:rPr>
          <w:rFonts w:ascii="Verdana" w:hAnsi="Verdana" w:cs="Verdana"/>
          <w:b/>
          <w:bCs/>
          <w:sz w:val="22"/>
          <w:szCs w:val="22"/>
          <w:lang w:val="es-ES" w:eastAsia="es-ES"/>
        </w:rPr>
        <w:t>C</w:t>
      </w:r>
      <w:r w:rsidR="004B47C8">
        <w:rPr>
          <w:rFonts w:ascii="Verdana" w:hAnsi="Verdana" w:cs="Verdana"/>
          <w:b/>
          <w:bCs/>
          <w:sz w:val="22"/>
          <w:szCs w:val="22"/>
          <w:lang w:val="es-ES" w:eastAsia="es-ES"/>
        </w:rPr>
        <w:t>.A.Z.V.</w:t>
      </w:r>
      <w:r>
        <w:rPr>
          <w:rFonts w:ascii="Verdana" w:hAnsi="Verdana" w:cs="Verdana"/>
          <w:b/>
          <w:bCs/>
          <w:sz w:val="22"/>
          <w:szCs w:val="22"/>
          <w:lang w:val="es-ES" w:eastAsia="es-ES"/>
        </w:rPr>
        <w:t xml:space="preserve">, cédula de identidad número </w:t>
      </w:r>
      <w:r w:rsidR="004B47C8">
        <w:rPr>
          <w:rFonts w:ascii="Verdana" w:hAnsi="Verdana" w:cs="Verdana"/>
          <w:b/>
          <w:bCs/>
          <w:sz w:val="22"/>
          <w:szCs w:val="22"/>
          <w:lang w:val="es-ES" w:eastAsia="es-ES"/>
        </w:rPr>
        <w:t>…</w:t>
      </w:r>
      <w:r>
        <w:rPr>
          <w:rFonts w:ascii="Verdana" w:hAnsi="Verdana" w:cs="Verdana"/>
          <w:b/>
          <w:bCs/>
          <w:sz w:val="22"/>
          <w:szCs w:val="22"/>
          <w:lang w:val="es-ES" w:eastAsia="es-ES"/>
        </w:rPr>
        <w:t>, falleció el 6 de abril de 2018.</w:t>
      </w:r>
    </w:p>
    <w:p w14:paraId="457D9CFF" w14:textId="77777777" w:rsidR="00CE58FC" w:rsidRDefault="006629D8">
      <w:pPr>
        <w:kinsoku w:val="0"/>
        <w:overflowPunct w:val="0"/>
        <w:autoSpaceDE/>
        <w:autoSpaceDN/>
        <w:adjustRightInd/>
        <w:spacing w:before="283" w:line="266"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los procedimientos seguidos se han observado las prescripciones legales.</w:t>
      </w:r>
    </w:p>
    <w:p w14:paraId="7EFCC012" w14:textId="77777777" w:rsidR="00CE58FC" w:rsidRDefault="006629D8">
      <w:pPr>
        <w:kinsoku w:val="0"/>
        <w:overflowPunct w:val="0"/>
        <w:autoSpaceDE/>
        <w:autoSpaceDN/>
        <w:adjustRightInd/>
        <w:spacing w:before="265" w:line="268" w:lineRule="exact"/>
        <w:ind w:left="144"/>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 Muñoz Corea.</w:t>
      </w:r>
    </w:p>
    <w:p w14:paraId="41615FC9" w14:textId="77777777" w:rsidR="00CE58FC" w:rsidRDefault="006629D8">
      <w:pPr>
        <w:kinsoku w:val="0"/>
        <w:overflowPunct w:val="0"/>
        <w:autoSpaceDE/>
        <w:autoSpaceDN/>
        <w:adjustRightInd/>
        <w:spacing w:before="480" w:line="329"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14:paraId="4FA47590" w14:textId="77777777" w:rsidR="00CE58FC" w:rsidRDefault="006629D8" w:rsidP="004B47C8">
      <w:pPr>
        <w:kinsoku w:val="0"/>
        <w:overflowPunct w:val="0"/>
        <w:autoSpaceDE/>
        <w:autoSpaceDN/>
        <w:adjustRightInd/>
        <w:spacing w:before="543" w:line="265"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19"/>
          <w:szCs w:val="19"/>
          <w:lang w:val="es-ES" w:eastAsia="es-ES"/>
        </w:rPr>
        <w:t xml:space="preserve">El TRIBUNAL ADMINISTRATIVO </w:t>
      </w:r>
      <w:r>
        <w:rPr>
          <w:rFonts w:ascii="Verdana" w:hAnsi="Verdana" w:cs="Verdana"/>
          <w:sz w:val="22"/>
          <w:szCs w:val="22"/>
          <w:lang w:val="es-ES" w:eastAsia="es-ES"/>
        </w:rPr>
        <w:t>DE TRANSPORTE es él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14:paraId="733F0374" w14:textId="77777777" w:rsidR="00CE58FC" w:rsidRDefault="006629D8">
      <w:pPr>
        <w:kinsoku w:val="0"/>
        <w:overflowPunct w:val="0"/>
        <w:autoSpaceDE/>
        <w:autoSpaceDN/>
        <w:adjustRightInd/>
        <w:spacing w:before="523" w:line="268"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LA ADMISIBILIDAD DEL RECURSO:</w:t>
      </w:r>
    </w:p>
    <w:p w14:paraId="537479CB" w14:textId="77777777" w:rsidR="00CE58FC" w:rsidRDefault="006629D8">
      <w:pPr>
        <w:kinsoku w:val="0"/>
        <w:overflowPunct w:val="0"/>
        <w:autoSpaceDE/>
        <w:autoSpaceDN/>
        <w:adjustRightInd/>
        <w:spacing w:before="288" w:after="633"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señora </w:t>
      </w:r>
      <w:r>
        <w:rPr>
          <w:rFonts w:ascii="Verdana" w:hAnsi="Verdana" w:cs="Verdana"/>
          <w:b/>
          <w:bCs/>
          <w:sz w:val="22"/>
          <w:szCs w:val="22"/>
          <w:lang w:val="es-ES" w:eastAsia="es-ES"/>
        </w:rPr>
        <w:t>G</w:t>
      </w:r>
      <w:r w:rsidR="004B47C8">
        <w:rPr>
          <w:rFonts w:ascii="Verdana" w:hAnsi="Verdana" w:cs="Verdana"/>
          <w:b/>
          <w:bCs/>
          <w:sz w:val="22"/>
          <w:szCs w:val="22"/>
          <w:lang w:val="es-ES" w:eastAsia="es-ES"/>
        </w:rPr>
        <w:t>.L.N.P.</w:t>
      </w:r>
      <w:r>
        <w:rPr>
          <w:rFonts w:ascii="Verdana" w:hAnsi="Verdana" w:cs="Verdana"/>
          <w:b/>
          <w:bCs/>
          <w:sz w:val="22"/>
          <w:szCs w:val="22"/>
          <w:lang w:val="es-ES" w:eastAsia="es-ES"/>
        </w:rPr>
        <w:t xml:space="preserve">, cédula de identidad </w:t>
      </w:r>
      <w:r w:rsidR="004B47C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 recurre el </w:t>
      </w:r>
      <w:r>
        <w:rPr>
          <w:rFonts w:ascii="Verdana" w:hAnsi="Verdana" w:cs="Verdana"/>
          <w:b/>
          <w:bCs/>
          <w:sz w:val="22"/>
          <w:szCs w:val="22"/>
          <w:lang w:val="es-ES" w:eastAsia="es-ES"/>
        </w:rPr>
        <w:t xml:space="preserve">Artículo 7.6 de la Sesión Ordinaria 28-2018 de 4 de setiembre de 2018 </w:t>
      </w:r>
      <w:r>
        <w:rPr>
          <w:rFonts w:ascii="Verdana" w:hAnsi="Verdana" w:cs="Verdana"/>
          <w:sz w:val="22"/>
          <w:szCs w:val="22"/>
          <w:lang w:val="es-ES" w:eastAsia="es-ES"/>
        </w:rPr>
        <w:t xml:space="preserve">mediante el cual se rechazó la solicitud formulada por ella, para que se transfiriera mortis causa la concesión del causante </w:t>
      </w:r>
      <w:r>
        <w:rPr>
          <w:rFonts w:ascii="Verdana" w:hAnsi="Verdana" w:cs="Verdana"/>
          <w:b/>
          <w:bCs/>
          <w:sz w:val="22"/>
          <w:szCs w:val="22"/>
          <w:lang w:val="es-ES" w:eastAsia="es-ES"/>
        </w:rPr>
        <w:t>C</w:t>
      </w:r>
      <w:r w:rsidR="004B47C8">
        <w:rPr>
          <w:rFonts w:ascii="Verdana" w:hAnsi="Verdana" w:cs="Verdana"/>
          <w:b/>
          <w:bCs/>
          <w:sz w:val="22"/>
          <w:szCs w:val="22"/>
          <w:lang w:val="es-ES" w:eastAsia="es-ES"/>
        </w:rPr>
        <w:t>.A.Z.V.</w:t>
      </w:r>
      <w:r>
        <w:rPr>
          <w:rFonts w:ascii="Verdana" w:hAnsi="Verdana" w:cs="Verdana"/>
          <w:b/>
          <w:bCs/>
          <w:sz w:val="22"/>
          <w:szCs w:val="22"/>
          <w:lang w:val="es-ES" w:eastAsia="es-ES"/>
        </w:rPr>
        <w:t xml:space="preserve">, cédula de identidad número </w:t>
      </w:r>
      <w:r w:rsidR="004B47C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 fuera concesionario de la placa de </w:t>
      </w:r>
      <w:r>
        <w:rPr>
          <w:rFonts w:ascii="Verdana" w:hAnsi="Verdana" w:cs="Verdana"/>
          <w:b/>
          <w:bCs/>
          <w:sz w:val="22"/>
          <w:szCs w:val="22"/>
          <w:lang w:val="es-ES" w:eastAsia="es-ES"/>
        </w:rPr>
        <w:t>Taxi TS</w:t>
      </w:r>
      <w:r w:rsidR="004B47C8">
        <w:rPr>
          <w:rFonts w:ascii="Verdana" w:hAnsi="Verdana" w:cs="Verdana"/>
          <w:b/>
          <w:bCs/>
          <w:sz w:val="22"/>
          <w:szCs w:val="22"/>
          <w:lang w:val="es-ES" w:eastAsia="es-ES"/>
        </w:rPr>
        <w:t>J</w:t>
      </w:r>
      <w:r>
        <w:rPr>
          <w:rFonts w:ascii="Verdana" w:hAnsi="Verdana" w:cs="Verdana"/>
          <w:b/>
          <w:bCs/>
          <w:sz w:val="22"/>
          <w:szCs w:val="22"/>
          <w:lang w:val="es-ES" w:eastAsia="es-ES"/>
        </w:rPr>
        <w:t>-</w:t>
      </w:r>
      <w:r w:rsidR="004B47C8">
        <w:rPr>
          <w:rFonts w:ascii="Verdana" w:hAnsi="Verdana" w:cs="Verdana"/>
          <w:b/>
          <w:bCs/>
          <w:sz w:val="22"/>
          <w:szCs w:val="22"/>
          <w:lang w:val="es-ES" w:eastAsia="es-ES"/>
        </w:rPr>
        <w:t>XXXX</w:t>
      </w:r>
      <w:r>
        <w:rPr>
          <w:rFonts w:ascii="Verdana" w:hAnsi="Verdana" w:cs="Verdana"/>
          <w:b/>
          <w:bCs/>
          <w:sz w:val="22"/>
          <w:szCs w:val="22"/>
          <w:lang w:val="es-ES" w:eastAsia="es-ES"/>
        </w:rPr>
        <w:t xml:space="preserve">, a su favor, </w:t>
      </w:r>
      <w:r>
        <w:rPr>
          <w:rFonts w:ascii="Verdana" w:hAnsi="Verdana" w:cs="Verdana"/>
          <w:sz w:val="22"/>
          <w:szCs w:val="22"/>
          <w:lang w:val="es-ES" w:eastAsia="es-ES"/>
        </w:rPr>
        <w:t>carece de Legitimación para recurrir el presente asunto por lo siguiente:</w:t>
      </w:r>
    </w:p>
    <w:p w14:paraId="367135F1" w14:textId="77777777" w:rsidR="00CE58FC" w:rsidRDefault="00CE58FC">
      <w:pPr>
        <w:widowControl/>
        <w:rPr>
          <w:sz w:val="24"/>
          <w:szCs w:val="24"/>
        </w:rPr>
        <w:sectPr w:rsidR="00CE58FC">
          <w:pgSz w:w="12240" w:h="15840"/>
          <w:pgMar w:top="1240" w:right="1587" w:bottom="364" w:left="1573" w:header="720" w:footer="720" w:gutter="0"/>
          <w:cols w:space="720"/>
          <w:noEndnote/>
        </w:sectPr>
      </w:pPr>
    </w:p>
    <w:p w14:paraId="302F262F" w14:textId="77777777" w:rsidR="00CE58FC" w:rsidRDefault="00CE58FC">
      <w:pPr>
        <w:widowControl/>
        <w:rPr>
          <w:sz w:val="24"/>
          <w:szCs w:val="24"/>
        </w:rPr>
        <w:sectPr w:rsidR="00CE58FC">
          <w:type w:val="continuous"/>
          <w:pgSz w:w="12240" w:h="15840"/>
          <w:pgMar w:top="1240" w:right="1651" w:bottom="364" w:left="8069" w:header="720" w:footer="720" w:gutter="0"/>
          <w:cols w:space="720"/>
          <w:noEndnote/>
        </w:sectPr>
      </w:pPr>
    </w:p>
    <w:p w14:paraId="1BD8A56E" w14:textId="77777777" w:rsidR="00CE58FC" w:rsidRDefault="006629D8">
      <w:pPr>
        <w:kinsoku w:val="0"/>
        <w:overflowPunct w:val="0"/>
        <w:autoSpaceDE/>
        <w:autoSpaceDN/>
        <w:adjustRightInd/>
        <w:spacing w:before="11" w:line="270" w:lineRule="exact"/>
        <w:ind w:left="72" w:right="72"/>
        <w:jc w:val="both"/>
        <w:textAlignment w:val="baseline"/>
        <w:rPr>
          <w:rFonts w:ascii="Verdana" w:hAnsi="Verdana" w:cs="Verdana"/>
          <w:spacing w:val="8"/>
          <w:lang w:val="es-ES" w:eastAsia="es-ES"/>
        </w:rPr>
      </w:pPr>
      <w:r>
        <w:rPr>
          <w:rFonts w:ascii="Verdana" w:hAnsi="Verdana" w:cs="Verdana"/>
          <w:spacing w:val="8"/>
          <w:lang w:val="es-ES" w:eastAsia="es-ES"/>
        </w:rPr>
        <w:lastRenderedPageBreak/>
        <w:t xml:space="preserve">La </w:t>
      </w:r>
      <w:r>
        <w:rPr>
          <w:rFonts w:ascii="Verdana" w:hAnsi="Verdana" w:cs="Verdana"/>
          <w:b/>
          <w:bCs/>
          <w:spacing w:val="8"/>
          <w:lang w:val="es-ES" w:eastAsia="es-ES"/>
        </w:rPr>
        <w:t xml:space="preserve">Ley 9027 </w:t>
      </w:r>
      <w:r>
        <w:rPr>
          <w:rFonts w:ascii="Verdana" w:hAnsi="Verdana" w:cs="Verdana"/>
          <w:spacing w:val="8"/>
          <w:lang w:val="es-ES" w:eastAsia="es-ES"/>
        </w:rPr>
        <w:t>del 6 de febrero de 2012, que autoriza la transmisibilidad de derechos de concesión por muerte del concesionario en el servicio público de taxis, reforma la Ley Reguladora del Servicio Público de Transporte Remunerado de Personas en Vehículos en la modalidad de Taxi, Ley 7969, con el fin de regular el traspaso de concesiones por muerte del concesionario.</w:t>
      </w:r>
    </w:p>
    <w:p w14:paraId="614F23F5" w14:textId="77777777" w:rsidR="00CE58FC" w:rsidRDefault="006629D8">
      <w:pPr>
        <w:kinsoku w:val="0"/>
        <w:overflowPunct w:val="0"/>
        <w:autoSpaceDE/>
        <w:autoSpaceDN/>
        <w:adjustRightInd/>
        <w:spacing w:before="263" w:line="270" w:lineRule="exact"/>
        <w:ind w:left="72" w:right="72"/>
        <w:jc w:val="both"/>
        <w:textAlignment w:val="baseline"/>
        <w:rPr>
          <w:rFonts w:ascii="Verdana" w:hAnsi="Verdana" w:cs="Verdana"/>
          <w:b/>
          <w:bCs/>
          <w:lang w:val="es-ES" w:eastAsia="es-ES"/>
        </w:rPr>
      </w:pPr>
      <w:r>
        <w:rPr>
          <w:rFonts w:ascii="Verdana" w:hAnsi="Verdana" w:cs="Verdana"/>
          <w:lang w:val="es-ES" w:eastAsia="es-ES"/>
        </w:rPr>
        <w:t xml:space="preserve">En ella se determinan quienes pueden ser beneficiarios para que se les transfiera la concesión y dispone que deberán en lo sucesivo los concesionarios registrar las personas que en caso de su muerte serán en calidad de titular y suplente los beneficiarios, de no hacerlo y acaecer un deceso se cancela la concesión, </w:t>
      </w:r>
      <w:r>
        <w:rPr>
          <w:rFonts w:ascii="Verdana" w:hAnsi="Verdana" w:cs="Verdana"/>
          <w:b/>
          <w:bCs/>
          <w:lang w:val="es-ES" w:eastAsia="es-ES"/>
        </w:rPr>
        <w:t>artículo 42 bis adicionado a la Ley 7969.</w:t>
      </w:r>
    </w:p>
    <w:p w14:paraId="34235448" w14:textId="77777777" w:rsidR="00CE58FC" w:rsidRDefault="006629D8">
      <w:pPr>
        <w:kinsoku w:val="0"/>
        <w:overflowPunct w:val="0"/>
        <w:autoSpaceDE/>
        <w:autoSpaceDN/>
        <w:adjustRightInd/>
        <w:spacing w:before="270" w:line="244" w:lineRule="exact"/>
        <w:ind w:left="576" w:right="432"/>
        <w:jc w:val="both"/>
        <w:textAlignment w:val="baseline"/>
        <w:rPr>
          <w:rFonts w:ascii="Verdana" w:hAnsi="Verdana" w:cs="Verdana"/>
          <w:lang w:val="es-ES" w:eastAsia="es-ES"/>
        </w:rPr>
      </w:pPr>
      <w:r>
        <w:rPr>
          <w:rFonts w:ascii="Verdana" w:hAnsi="Verdana" w:cs="Verdana"/>
          <w:b/>
          <w:bCs/>
          <w:lang w:val="es-ES" w:eastAsia="es-ES"/>
        </w:rPr>
        <w:t xml:space="preserve">"Artículo 42 </w:t>
      </w:r>
      <w:proofErr w:type="gramStart"/>
      <w:r>
        <w:rPr>
          <w:rFonts w:ascii="Verdana" w:hAnsi="Verdana" w:cs="Verdana"/>
          <w:b/>
          <w:bCs/>
          <w:lang w:val="es-ES" w:eastAsia="es-ES"/>
        </w:rPr>
        <w:t>bis.-</w:t>
      </w:r>
      <w:proofErr w:type="gramEnd"/>
      <w:r>
        <w:rPr>
          <w:rFonts w:ascii="Verdana" w:hAnsi="Verdana" w:cs="Verdana"/>
          <w:b/>
          <w:bCs/>
          <w:lang w:val="es-ES" w:eastAsia="es-ES"/>
        </w:rPr>
        <w:t xml:space="preserve"> </w:t>
      </w:r>
      <w:r>
        <w:rPr>
          <w:rFonts w:ascii="Verdana" w:hAnsi="Verdana" w:cs="Verdana"/>
          <w:lang w:val="es-ES" w:eastAsia="es-ES"/>
        </w:rPr>
        <w:t>Traspaso de beneficio de la concesión en el servicio público de taxi por muerte de la persona concesionaria.</w:t>
      </w:r>
    </w:p>
    <w:p w14:paraId="4A6525AC" w14:textId="77777777" w:rsidR="00CE58FC" w:rsidRDefault="006629D8">
      <w:pPr>
        <w:kinsoku w:val="0"/>
        <w:overflowPunct w:val="0"/>
        <w:autoSpaceDE/>
        <w:autoSpaceDN/>
        <w:adjustRightInd/>
        <w:spacing w:before="1" w:line="244" w:lineRule="exact"/>
        <w:ind w:left="576" w:right="432"/>
        <w:jc w:val="both"/>
        <w:textAlignment w:val="baseline"/>
        <w:rPr>
          <w:rFonts w:ascii="Verdana" w:hAnsi="Verdana" w:cs="Verdana"/>
          <w:spacing w:val="-1"/>
          <w:lang w:val="es-ES" w:eastAsia="es-ES"/>
        </w:rPr>
      </w:pPr>
      <w:r>
        <w:rPr>
          <w:rFonts w:ascii="Verdana" w:hAnsi="Verdana" w:cs="Verdana"/>
          <w:b/>
          <w:bCs/>
          <w:spacing w:val="-1"/>
          <w:lang w:val="es-ES" w:eastAsia="es-ES"/>
        </w:rPr>
        <w:t xml:space="preserve">Todo concesionario o concesionaria del servicio público del transporte remunerado de personas en vehículos en la modalidad de taxi podrá designar libremente e </w:t>
      </w:r>
      <w:r>
        <w:rPr>
          <w:rFonts w:ascii="Verdana" w:hAnsi="Verdana" w:cs="Verdana"/>
          <w:b/>
          <w:bCs/>
          <w:spacing w:val="-1"/>
          <w:u w:val="single"/>
          <w:lang w:val="es-ES" w:eastAsia="es-ES"/>
        </w:rPr>
        <w:t xml:space="preserve">incluirse en el Registro de Concesiones </w:t>
      </w:r>
      <w:proofErr w:type="gramStart"/>
      <w:r>
        <w:rPr>
          <w:rFonts w:ascii="Verdana" w:hAnsi="Verdana" w:cs="Verdana"/>
          <w:b/>
          <w:bCs/>
          <w:spacing w:val="-1"/>
          <w:u w:val="single"/>
          <w:lang w:val="es-ES" w:eastAsia="es-ES"/>
        </w:rPr>
        <w:t>del  Consejo</w:t>
      </w:r>
      <w:proofErr w:type="gramEnd"/>
      <w:r>
        <w:rPr>
          <w:rFonts w:ascii="Verdana" w:hAnsi="Verdana" w:cs="Verdana"/>
          <w:b/>
          <w:bCs/>
          <w:spacing w:val="-1"/>
          <w:lang w:val="es-ES" w:eastAsia="es-ES"/>
        </w:rPr>
        <w:t xml:space="preserve"> una persona beneficiaria titular y una suplente, para el caso de muerte. </w:t>
      </w:r>
      <w:r>
        <w:rPr>
          <w:rFonts w:ascii="Verdana" w:hAnsi="Verdana" w:cs="Verdana"/>
          <w:spacing w:val="-1"/>
          <w:lang w:val="es-ES" w:eastAsia="es-ES"/>
        </w:rPr>
        <w:t>La persona suplente entraría como beneficiaria directa si fallece la persona titular, siempre que el concesionario o la concesionaria lo seleccione entre los siguientes parientes, a saber: abuelos o abuelas, padre o madre, hijos</w:t>
      </w:r>
    </w:p>
    <w:p w14:paraId="25631752" w14:textId="77777777" w:rsidR="00CE58FC" w:rsidRDefault="006629D8">
      <w:pPr>
        <w:numPr>
          <w:ilvl w:val="0"/>
          <w:numId w:val="1"/>
        </w:numPr>
        <w:kinsoku w:val="0"/>
        <w:overflowPunct w:val="0"/>
        <w:autoSpaceDE/>
        <w:autoSpaceDN/>
        <w:adjustRightInd/>
        <w:spacing w:line="242" w:lineRule="exact"/>
        <w:ind w:right="432"/>
        <w:jc w:val="both"/>
        <w:textAlignment w:val="baseline"/>
        <w:rPr>
          <w:rFonts w:ascii="Verdana" w:hAnsi="Verdana" w:cs="Verdana"/>
          <w:lang w:val="es-ES" w:eastAsia="es-ES"/>
        </w:rPr>
      </w:pPr>
      <w:r>
        <w:rPr>
          <w:rFonts w:ascii="Verdana" w:hAnsi="Verdana" w:cs="Verdana"/>
          <w:lang w:val="es-ES" w:eastAsia="es-ES"/>
        </w:rPr>
        <w:t>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14:paraId="6582647A" w14:textId="77777777" w:rsidR="00CE58FC" w:rsidRDefault="006629D8">
      <w:pPr>
        <w:kinsoku w:val="0"/>
        <w:overflowPunct w:val="0"/>
        <w:autoSpaceDE/>
        <w:autoSpaceDN/>
        <w:adjustRightInd/>
        <w:spacing w:line="243" w:lineRule="exact"/>
        <w:ind w:left="576" w:right="432"/>
        <w:jc w:val="both"/>
        <w:textAlignment w:val="baseline"/>
        <w:rPr>
          <w:rFonts w:ascii="Verdana" w:hAnsi="Verdana" w:cs="Verdana"/>
          <w:lang w:val="es-ES" w:eastAsia="es-ES"/>
        </w:rPr>
      </w:pPr>
      <w:r>
        <w:rPr>
          <w:rFonts w:ascii="Verdana" w:hAnsi="Verdana" w:cs="Verdana"/>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14:paraId="5655854B" w14:textId="77777777" w:rsidR="00CE58FC" w:rsidRDefault="006629D8">
      <w:pPr>
        <w:kinsoku w:val="0"/>
        <w:overflowPunct w:val="0"/>
        <w:autoSpaceDE/>
        <w:autoSpaceDN/>
        <w:adjustRightInd/>
        <w:spacing w:before="23" w:line="244" w:lineRule="exact"/>
        <w:ind w:left="576" w:right="432"/>
        <w:jc w:val="both"/>
        <w:textAlignment w:val="baseline"/>
        <w:rPr>
          <w:rFonts w:ascii="Verdana" w:hAnsi="Verdana" w:cs="Verdana"/>
          <w:spacing w:val="-3"/>
          <w:lang w:val="es-ES" w:eastAsia="es-ES"/>
        </w:rPr>
      </w:pPr>
      <w:r>
        <w:rPr>
          <w:rFonts w:ascii="Verdana" w:hAnsi="Verdana" w:cs="Verdana"/>
          <w:spacing w:val="-3"/>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w:t>
      </w:r>
    </w:p>
    <w:p w14:paraId="29E77A72" w14:textId="77777777" w:rsidR="00CE58FC" w:rsidRDefault="006629D8">
      <w:pPr>
        <w:numPr>
          <w:ilvl w:val="0"/>
          <w:numId w:val="2"/>
        </w:numPr>
        <w:kinsoku w:val="0"/>
        <w:overflowPunct w:val="0"/>
        <w:autoSpaceDE/>
        <w:autoSpaceDN/>
        <w:adjustRightInd/>
        <w:spacing w:line="232" w:lineRule="exact"/>
        <w:textAlignment w:val="baseline"/>
        <w:rPr>
          <w:rFonts w:ascii="Verdana" w:hAnsi="Verdana" w:cs="Verdana"/>
          <w:spacing w:val="-2"/>
          <w:lang w:val="es-ES" w:eastAsia="es-ES"/>
        </w:rPr>
      </w:pPr>
      <w:r>
        <w:rPr>
          <w:rFonts w:ascii="Verdana" w:hAnsi="Verdana" w:cs="Verdana"/>
          <w:spacing w:val="-2"/>
          <w:lang w:val="es-ES" w:eastAsia="es-ES"/>
        </w:rPr>
        <w:t>concesionaria.</w:t>
      </w:r>
    </w:p>
    <w:p w14:paraId="305125FB" w14:textId="77777777" w:rsidR="00CE58FC" w:rsidRDefault="006629D8">
      <w:pPr>
        <w:kinsoku w:val="0"/>
        <w:overflowPunct w:val="0"/>
        <w:autoSpaceDE/>
        <w:autoSpaceDN/>
        <w:adjustRightInd/>
        <w:spacing w:before="24" w:line="254" w:lineRule="exact"/>
        <w:ind w:left="576" w:right="432"/>
        <w:jc w:val="both"/>
        <w:textAlignment w:val="baseline"/>
        <w:rPr>
          <w:rFonts w:ascii="Verdana" w:hAnsi="Verdana" w:cs="Verdana"/>
          <w:b/>
          <w:bCs/>
          <w:sz w:val="24"/>
          <w:szCs w:val="24"/>
          <w:u w:val="single"/>
          <w:lang w:val="es-ES" w:eastAsia="es-ES"/>
        </w:rPr>
      </w:pPr>
      <w:r>
        <w:rPr>
          <w:rFonts w:ascii="Verdana" w:hAnsi="Verdana" w:cs="Verdana"/>
          <w:b/>
          <w:bCs/>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rFonts w:ascii="Verdana" w:hAnsi="Verdana" w:cs="Verdana"/>
          <w:b/>
          <w:bCs/>
          <w:sz w:val="24"/>
          <w:szCs w:val="24"/>
          <w:u w:val="single"/>
          <w:lang w:val="es-ES" w:eastAsia="es-ES"/>
        </w:rPr>
        <w:t>En caso de fallecimiento sin haberse registrado</w:t>
      </w:r>
    </w:p>
    <w:p w14:paraId="342ADB5C" w14:textId="77777777" w:rsidR="00CE58FC" w:rsidRDefault="006629D8">
      <w:pPr>
        <w:kinsoku w:val="0"/>
        <w:overflowPunct w:val="0"/>
        <w:autoSpaceDE/>
        <w:autoSpaceDN/>
        <w:adjustRightInd/>
        <w:spacing w:before="15" w:after="681" w:line="283" w:lineRule="exact"/>
        <w:ind w:left="576"/>
        <w:textAlignment w:val="baseline"/>
        <w:rPr>
          <w:rFonts w:ascii="Verdana" w:hAnsi="Verdana" w:cs="Verdana"/>
          <w:b/>
          <w:bCs/>
          <w:spacing w:val="11"/>
          <w:sz w:val="24"/>
          <w:szCs w:val="24"/>
          <w:u w:val="single"/>
          <w:lang w:val="es-ES" w:eastAsia="es-ES"/>
        </w:rPr>
      </w:pPr>
      <w:r>
        <w:rPr>
          <w:rFonts w:ascii="Verdana" w:hAnsi="Verdana" w:cs="Verdana"/>
          <w:b/>
          <w:bCs/>
          <w:spacing w:val="11"/>
          <w:sz w:val="24"/>
          <w:szCs w:val="24"/>
          <w:u w:val="single"/>
          <w:lang w:val="es-ES" w:eastAsia="es-ES"/>
        </w:rPr>
        <w:t xml:space="preserve">la persona beneficiaria, titular y suplente, se cancelará </w:t>
      </w:r>
    </w:p>
    <w:p w14:paraId="6B2E35B5" w14:textId="77777777" w:rsidR="00CE58FC" w:rsidRDefault="00CE58FC">
      <w:pPr>
        <w:widowControl/>
        <w:rPr>
          <w:sz w:val="24"/>
          <w:szCs w:val="24"/>
        </w:rPr>
        <w:sectPr w:rsidR="00CE58FC">
          <w:pgSz w:w="12240" w:h="15840"/>
          <w:pgMar w:top="1740" w:right="1541" w:bottom="210" w:left="1619" w:header="720" w:footer="720" w:gutter="0"/>
          <w:cols w:space="720"/>
          <w:noEndnote/>
        </w:sectPr>
      </w:pPr>
    </w:p>
    <w:p w14:paraId="66CF4010" w14:textId="77777777" w:rsidR="00CE58FC" w:rsidRDefault="00CE58FC">
      <w:pPr>
        <w:widowControl/>
        <w:rPr>
          <w:sz w:val="24"/>
          <w:szCs w:val="24"/>
        </w:rPr>
        <w:sectPr w:rsidR="00CE58FC">
          <w:type w:val="continuous"/>
          <w:pgSz w:w="12240" w:h="15840"/>
          <w:pgMar w:top="1740" w:right="1566" w:bottom="210" w:left="7414" w:header="720" w:footer="720" w:gutter="0"/>
          <w:cols w:space="720"/>
          <w:noEndnote/>
        </w:sectPr>
      </w:pPr>
    </w:p>
    <w:p w14:paraId="37D98173" w14:textId="77777777" w:rsidR="00CE58FC" w:rsidRDefault="006629D8">
      <w:pPr>
        <w:kinsoku w:val="0"/>
        <w:overflowPunct w:val="0"/>
        <w:autoSpaceDE/>
        <w:autoSpaceDN/>
        <w:adjustRightInd/>
        <w:spacing w:before="65" w:line="247" w:lineRule="exact"/>
        <w:ind w:left="504" w:right="576"/>
        <w:jc w:val="both"/>
        <w:textAlignment w:val="baseline"/>
        <w:rPr>
          <w:rFonts w:ascii="Verdana" w:hAnsi="Verdana" w:cs="Verdana"/>
          <w:i/>
          <w:iCs/>
          <w:sz w:val="22"/>
          <w:szCs w:val="22"/>
          <w:lang w:val="es-ES" w:eastAsia="es-ES"/>
        </w:rPr>
      </w:pPr>
      <w:r>
        <w:rPr>
          <w:rFonts w:ascii="Verdana" w:hAnsi="Verdana" w:cs="Verdana"/>
          <w:b/>
          <w:bCs/>
          <w:sz w:val="22"/>
          <w:szCs w:val="22"/>
          <w:u w:val="single"/>
          <w:lang w:val="es-ES" w:eastAsia="es-ES"/>
        </w:rPr>
        <w:lastRenderedPageBreak/>
        <w:t xml:space="preserve">automáticamente la concesión otorgada. </w:t>
      </w:r>
      <w:r>
        <w:rPr>
          <w:rFonts w:ascii="Verdana" w:hAnsi="Verdana" w:cs="Verdana"/>
          <w:i/>
          <w:iCs/>
          <w:sz w:val="22"/>
          <w:szCs w:val="22"/>
          <w:lang w:val="es-ES" w:eastAsia="es-ES"/>
        </w:rPr>
        <w:t xml:space="preserve"> (Así adicionado por el artículo único de la ley </w:t>
      </w:r>
      <w:proofErr w:type="spellStart"/>
      <w:r>
        <w:rPr>
          <w:rFonts w:ascii="Verdana" w:hAnsi="Verdana" w:cs="Verdana"/>
          <w:i/>
          <w:iCs/>
          <w:sz w:val="22"/>
          <w:szCs w:val="22"/>
          <w:lang w:val="es-ES" w:eastAsia="es-ES"/>
        </w:rPr>
        <w:t>N°</w:t>
      </w:r>
      <w:proofErr w:type="spellEnd"/>
      <w:r>
        <w:rPr>
          <w:rFonts w:ascii="Verdana" w:hAnsi="Verdana" w:cs="Verdana"/>
          <w:i/>
          <w:iCs/>
          <w:sz w:val="22"/>
          <w:szCs w:val="22"/>
          <w:lang w:val="es-ES" w:eastAsia="es-ES"/>
        </w:rPr>
        <w:t xml:space="preserve"> 9027 del 6 de febrero del </w:t>
      </w:r>
      <w:proofErr w:type="gramStart"/>
      <w:r>
        <w:rPr>
          <w:rFonts w:ascii="Verdana" w:hAnsi="Verdana" w:cs="Verdana"/>
          <w:i/>
          <w:iCs/>
          <w:sz w:val="22"/>
          <w:szCs w:val="22"/>
          <w:lang w:val="es-ES" w:eastAsia="es-ES"/>
        </w:rPr>
        <w:t>2012)(</w:t>
      </w:r>
      <w:proofErr w:type="gramEnd"/>
      <w:r>
        <w:rPr>
          <w:rFonts w:ascii="Verdana" w:hAnsi="Verdana" w:cs="Verdana"/>
          <w:i/>
          <w:iCs/>
          <w:sz w:val="22"/>
          <w:szCs w:val="22"/>
          <w:lang w:val="es-ES" w:eastAsia="es-ES"/>
        </w:rPr>
        <w:t>El resaltado con negrita, subrayado y fuente distinta es nuestro)"</w:t>
      </w:r>
    </w:p>
    <w:p w14:paraId="2E47F83D" w14:textId="77777777" w:rsidR="00CE58FC" w:rsidRDefault="006629D8">
      <w:pPr>
        <w:kinsoku w:val="0"/>
        <w:overflowPunct w:val="0"/>
        <w:autoSpaceDE/>
        <w:autoSpaceDN/>
        <w:adjustRightInd/>
        <w:spacing w:before="321" w:line="267" w:lineRule="exact"/>
        <w:ind w:left="144" w:right="144"/>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Lo anterior conlleva entonces una consecuencia gravosa para la recurrente, cual es el hecho de que la pone en una condición de Falta de Legitimación para accionar en este asunto, pues no ostentan, ni un derecho subjetivo ni un interés legítimo y por lo tanto no cuenta con la capacidad procesal para recurrir, pues no tiene posibilidad alguna de lograr con la anulación del acto impugnado el traspaso mortis causa que pretende, y el CTP actúo conforme al principio de Legalidad, pues la solicitud que se presenta pretende se le traspase la concesión de la placa de taxi </w:t>
      </w:r>
      <w:r>
        <w:rPr>
          <w:rFonts w:ascii="Verdana" w:hAnsi="Verdana" w:cs="Verdana"/>
          <w:b/>
          <w:bCs/>
          <w:spacing w:val="-2"/>
          <w:sz w:val="22"/>
          <w:szCs w:val="22"/>
          <w:lang w:val="es-ES" w:eastAsia="es-ES"/>
        </w:rPr>
        <w:t>TS</w:t>
      </w:r>
      <w:r w:rsidR="004B47C8">
        <w:rPr>
          <w:rFonts w:ascii="Verdana" w:hAnsi="Verdana" w:cs="Verdana"/>
          <w:b/>
          <w:bCs/>
          <w:spacing w:val="-2"/>
          <w:sz w:val="22"/>
          <w:szCs w:val="22"/>
          <w:lang w:val="es-ES" w:eastAsia="es-ES"/>
        </w:rPr>
        <w:t>J</w:t>
      </w:r>
      <w:r>
        <w:rPr>
          <w:rFonts w:ascii="Verdana" w:hAnsi="Verdana" w:cs="Verdana"/>
          <w:b/>
          <w:bCs/>
          <w:spacing w:val="-2"/>
          <w:sz w:val="22"/>
          <w:szCs w:val="22"/>
          <w:lang w:val="es-ES" w:eastAsia="es-ES"/>
        </w:rPr>
        <w:t xml:space="preserve"> </w:t>
      </w:r>
      <w:r w:rsidR="004B47C8">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adjudicada al señor C</w:t>
      </w:r>
      <w:r w:rsidR="004B47C8">
        <w:rPr>
          <w:rFonts w:ascii="Verdana" w:hAnsi="Verdana" w:cs="Verdana"/>
          <w:b/>
          <w:bCs/>
          <w:spacing w:val="-2"/>
          <w:sz w:val="22"/>
          <w:szCs w:val="22"/>
          <w:lang w:val="es-ES" w:eastAsia="es-ES"/>
        </w:rPr>
        <w:t>.A.Z.V.</w:t>
      </w:r>
      <w:r>
        <w:rPr>
          <w:rFonts w:ascii="Verdana" w:hAnsi="Verdana" w:cs="Verdana"/>
          <w:b/>
          <w:bCs/>
          <w:spacing w:val="-2"/>
          <w:sz w:val="22"/>
          <w:szCs w:val="22"/>
          <w:lang w:val="es-ES" w:eastAsia="es-ES"/>
        </w:rPr>
        <w:t>, quien falleció, a la recurrente G</w:t>
      </w:r>
      <w:r w:rsidR="004B47C8">
        <w:rPr>
          <w:rFonts w:ascii="Verdana" w:hAnsi="Verdana" w:cs="Verdana"/>
          <w:b/>
          <w:bCs/>
          <w:spacing w:val="-2"/>
          <w:sz w:val="22"/>
          <w:szCs w:val="22"/>
          <w:lang w:val="es-ES" w:eastAsia="es-ES"/>
        </w:rPr>
        <w:t>.L.N.P.</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pero ésta nunca fue debidamente designada ante el CTP, como beneficiaria del causante </w:t>
      </w:r>
      <w:r>
        <w:rPr>
          <w:rFonts w:ascii="Verdana" w:hAnsi="Verdana" w:cs="Verdana"/>
          <w:b/>
          <w:bCs/>
          <w:spacing w:val="-2"/>
          <w:sz w:val="22"/>
          <w:szCs w:val="22"/>
          <w:lang w:val="es-ES" w:eastAsia="es-ES"/>
        </w:rPr>
        <w:t>Z</w:t>
      </w:r>
      <w:r w:rsidR="004B47C8">
        <w:rPr>
          <w:rFonts w:ascii="Verdana" w:hAnsi="Verdana" w:cs="Verdana"/>
          <w:b/>
          <w:bCs/>
          <w:spacing w:val="-2"/>
          <w:sz w:val="22"/>
          <w:szCs w:val="22"/>
          <w:lang w:val="es-ES" w:eastAsia="es-ES"/>
        </w:rPr>
        <w:t>.V.</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y el documento fue presentado a ventanilla única del Consejo de Transporte Público el </w:t>
      </w:r>
      <w:r>
        <w:rPr>
          <w:rFonts w:ascii="Verdana" w:hAnsi="Verdana" w:cs="Verdana"/>
          <w:b/>
          <w:bCs/>
          <w:spacing w:val="-2"/>
          <w:sz w:val="22"/>
          <w:szCs w:val="22"/>
          <w:lang w:val="es-ES" w:eastAsia="es-ES"/>
        </w:rPr>
        <w:t>9 de abril de 2018 a las 11:05 horas y el concesionario falleció el 6 de abril de 2018.</w:t>
      </w:r>
    </w:p>
    <w:p w14:paraId="1A0AFF60" w14:textId="77777777" w:rsidR="00CE58FC" w:rsidRDefault="006629D8">
      <w:pPr>
        <w:kinsoku w:val="0"/>
        <w:overflowPunct w:val="0"/>
        <w:autoSpaceDE/>
        <w:autoSpaceDN/>
        <w:adjustRightInd/>
        <w:spacing w:before="268" w:line="268" w:lineRule="exact"/>
        <w:ind w:left="144"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De lo anterior se tiene, que contrario a lo argumentado por el Representante de la Recurrente en el sentido de que se han cumplido todos los requisitos que prevé la Ley y que solamente falto el aspecto del perfeccionamiento que podría ser subsanado, es requisito sine qua non, que la inscripción de beneficiario se haya presentado antes de la muerte del concesionario, so pena que de no hacerlo se cancelará la misma.</w:t>
      </w:r>
    </w:p>
    <w:p w14:paraId="32F3B6BB" w14:textId="77777777" w:rsidR="00CE58FC" w:rsidRDefault="006629D8">
      <w:pPr>
        <w:kinsoku w:val="0"/>
        <w:overflowPunct w:val="0"/>
        <w:autoSpaceDE/>
        <w:autoSpaceDN/>
        <w:adjustRightInd/>
        <w:spacing w:before="266" w:line="268"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No estamos, ante un asunto de discrecionalidad de la Administración ni tampoco es de rigor cuestionar si el documento fue realizado por el causante por su libre voluntad y rubricado de su puño y letra, se trata de un requisito Legal plasmado en el artículo 42.bis referido supra, que no permite margen de disposición al CTP, sea sí no se cumplió con la presentación del registro de beneficiario en vida del concesionario, es inadmisible su recibo, presentado posterior a la muerte de este; de actuar diferente la Junta Directiva del Consejo de Transporte Público estaría violentando el principio de Legalidad.</w:t>
      </w:r>
    </w:p>
    <w:p w14:paraId="4AB5E7E5" w14:textId="77777777" w:rsidR="00CE58FC" w:rsidRDefault="006629D8">
      <w:pPr>
        <w:kinsoku w:val="0"/>
        <w:overflowPunct w:val="0"/>
        <w:autoSpaceDE/>
        <w:autoSpaceDN/>
        <w:adjustRightInd/>
        <w:spacing w:before="276"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Es requisito indispensable, para poder accionar en cualquier procedimiento jurídico y a esto no escapa la interposición de las acciones recursivas, contar con la debida Legitimación para ello.</w:t>
      </w:r>
    </w:p>
    <w:p w14:paraId="3F8E0C5D" w14:textId="77777777" w:rsidR="00CE58FC" w:rsidRDefault="006629D8">
      <w:pPr>
        <w:kinsoku w:val="0"/>
        <w:overflowPunct w:val="0"/>
        <w:autoSpaceDE/>
        <w:autoSpaceDN/>
        <w:adjustRightInd/>
        <w:spacing w:before="256"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w:t>
      </w:r>
      <w:proofErr w:type="spellStart"/>
      <w:r>
        <w:rPr>
          <w:rFonts w:ascii="Verdana" w:hAnsi="Verdana" w:cs="Verdana"/>
          <w:sz w:val="22"/>
          <w:szCs w:val="22"/>
          <w:lang w:val="es-ES" w:eastAsia="es-ES"/>
        </w:rPr>
        <w:t>articuló</w:t>
      </w:r>
      <w:proofErr w:type="spellEnd"/>
      <w:r>
        <w:rPr>
          <w:rFonts w:ascii="Verdana" w:hAnsi="Verdana" w:cs="Verdana"/>
          <w:sz w:val="22"/>
          <w:szCs w:val="22"/>
          <w:lang w:val="es-ES" w:eastAsia="es-ES"/>
        </w:rPr>
        <w:t xml:space="preserve"> 275 de la Ley General de la Administración Pública, en cuanto a la Legitimación indica:</w:t>
      </w:r>
    </w:p>
    <w:p w14:paraId="477D3343" w14:textId="77777777" w:rsidR="00CE58FC" w:rsidRDefault="006629D8">
      <w:pPr>
        <w:kinsoku w:val="0"/>
        <w:overflowPunct w:val="0"/>
        <w:autoSpaceDE/>
        <w:autoSpaceDN/>
        <w:adjustRightInd/>
        <w:spacing w:before="531" w:after="673" w:line="268" w:lineRule="exact"/>
        <w:ind w:left="504"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14:paraId="29246543" w14:textId="77777777" w:rsidR="00CE58FC" w:rsidRDefault="00CE58FC">
      <w:pPr>
        <w:widowControl/>
        <w:rPr>
          <w:sz w:val="24"/>
          <w:szCs w:val="24"/>
        </w:rPr>
        <w:sectPr w:rsidR="00CE58FC">
          <w:pgSz w:w="12240" w:h="15840"/>
          <w:pgMar w:top="1220" w:right="1594" w:bottom="364" w:left="1566" w:header="720" w:footer="720" w:gutter="0"/>
          <w:cols w:space="720"/>
          <w:noEndnote/>
        </w:sectPr>
      </w:pPr>
    </w:p>
    <w:p w14:paraId="744D7F99" w14:textId="77777777" w:rsidR="00CE58FC" w:rsidRDefault="006629D8">
      <w:pPr>
        <w:tabs>
          <w:tab w:val="right" w:pos="3240"/>
        </w:tabs>
        <w:kinsoku w:val="0"/>
        <w:overflowPunct w:val="0"/>
        <w:autoSpaceDE/>
        <w:autoSpaceDN/>
        <w:adjustRightInd/>
        <w:spacing w:line="243" w:lineRule="exact"/>
        <w:textAlignment w:val="baseline"/>
        <w:rPr>
          <w:sz w:val="21"/>
          <w:szCs w:val="21"/>
          <w:lang w:val="es-ES" w:eastAsia="es-ES"/>
        </w:rPr>
      </w:pPr>
      <w:r>
        <w:rPr>
          <w:sz w:val="21"/>
          <w:szCs w:val="21"/>
          <w:lang w:val="es-ES" w:eastAsia="es-ES"/>
        </w:rPr>
        <w:tab/>
      </w:r>
    </w:p>
    <w:p w14:paraId="5C24FCA1" w14:textId="77777777" w:rsidR="00CE58FC" w:rsidRDefault="00CE58FC">
      <w:pPr>
        <w:widowControl/>
        <w:rPr>
          <w:sz w:val="24"/>
          <w:szCs w:val="24"/>
        </w:rPr>
        <w:sectPr w:rsidR="00CE58FC">
          <w:type w:val="continuous"/>
          <w:pgSz w:w="12240" w:h="15840"/>
          <w:pgMar w:top="1220" w:right="1660" w:bottom="364" w:left="7320" w:header="720" w:footer="720" w:gutter="0"/>
          <w:cols w:space="720"/>
          <w:noEndnote/>
        </w:sectPr>
      </w:pPr>
    </w:p>
    <w:p w14:paraId="11FC83A2" w14:textId="77777777" w:rsidR="00CE58FC" w:rsidRDefault="006629D8">
      <w:pPr>
        <w:kinsoku w:val="0"/>
        <w:overflowPunct w:val="0"/>
        <w:autoSpaceDE/>
        <w:autoSpaceDN/>
        <w:adjustRightInd/>
        <w:spacing w:line="29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La Sala Primera de la Corte Suprema de Justicia en su sentencia de fecha 04 de julio de 2013 de las 09:20:00 horas indicó respecto de la Legitimación lo</w:t>
      </w:r>
    </w:p>
    <w:p w14:paraId="1F529AD8" w14:textId="77777777" w:rsidR="00CE58FC" w:rsidRDefault="006629D8">
      <w:pPr>
        <w:kinsoku w:val="0"/>
        <w:overflowPunct w:val="0"/>
        <w:autoSpaceDE/>
        <w:autoSpaceDN/>
        <w:adjustRightInd/>
        <w:spacing w:before="37" w:line="275" w:lineRule="exact"/>
        <w:ind w:lef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siguiente:</w:t>
      </w:r>
    </w:p>
    <w:p w14:paraId="3F0B24C3" w14:textId="77777777" w:rsidR="00CE58FC" w:rsidRDefault="006629D8">
      <w:pPr>
        <w:kinsoku w:val="0"/>
        <w:overflowPunct w:val="0"/>
        <w:autoSpaceDE/>
        <w:autoSpaceDN/>
        <w:adjustRightInd/>
        <w:spacing w:before="567" w:after="513" w:line="269" w:lineRule="exact"/>
        <w:ind w:left="432" w:right="432" w:firstLine="72"/>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sí el juzgador se percata de la falta de la misma, así debe declararlo de oficio y dictar una sentencia inhibitoria, lo que no es óbice para que sea alegada oportunamente como excepción previa... ...La legitimación en la causa demás de determinar </w:t>
      </w:r>
      <w:proofErr w:type="spellStart"/>
      <w:r>
        <w:rPr>
          <w:rFonts w:ascii="Verdana" w:hAnsi="Verdana" w:cs="Verdana"/>
          <w:i/>
          <w:iCs/>
          <w:spacing w:val="-1"/>
          <w:sz w:val="22"/>
          <w:szCs w:val="22"/>
          <w:lang w:val="es-ES" w:eastAsia="es-ES"/>
        </w:rPr>
        <w:t>quienes</w:t>
      </w:r>
      <w:proofErr w:type="spellEnd"/>
      <w:r>
        <w:rPr>
          <w:rFonts w:ascii="Verdana" w:hAnsi="Verdana" w:cs="Verdana"/>
          <w:i/>
          <w:iCs/>
          <w:spacing w:val="-1"/>
          <w:sz w:val="22"/>
          <w:szCs w:val="22"/>
          <w:lang w:val="es-ES" w:eastAsia="es-ES"/>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w:t>
      </w:r>
    </w:p>
    <w:p w14:paraId="298E33F1" w14:textId="77777777" w:rsidR="00CE58FC" w:rsidRDefault="00CE58FC">
      <w:pPr>
        <w:widowControl/>
        <w:rPr>
          <w:sz w:val="24"/>
          <w:szCs w:val="24"/>
        </w:rPr>
        <w:sectPr w:rsidR="00CE58FC">
          <w:pgSz w:w="12240" w:h="15840"/>
          <w:pgMar w:top="1480" w:right="1548" w:bottom="220" w:left="1612" w:header="720" w:footer="720" w:gutter="0"/>
          <w:cols w:space="720"/>
          <w:noEndnote/>
        </w:sectPr>
      </w:pPr>
    </w:p>
    <w:p w14:paraId="4F6B7BFE" w14:textId="77777777" w:rsidR="00CE58FC" w:rsidRDefault="006629D8">
      <w:pPr>
        <w:tabs>
          <w:tab w:val="right" w:pos="3240"/>
        </w:tabs>
        <w:kinsoku w:val="0"/>
        <w:overflowPunct w:val="0"/>
        <w:autoSpaceDE/>
        <w:autoSpaceDN/>
        <w:adjustRightInd/>
        <w:spacing w:line="258" w:lineRule="exact"/>
        <w:textAlignment w:val="baseline"/>
        <w:rPr>
          <w:rFonts w:ascii="Verdana" w:hAnsi="Verdana" w:cs="Verdana"/>
          <w:sz w:val="22"/>
          <w:szCs w:val="22"/>
          <w:lang w:val="es-ES" w:eastAsia="es-ES"/>
        </w:rPr>
      </w:pPr>
      <w:r>
        <w:rPr>
          <w:sz w:val="21"/>
          <w:szCs w:val="21"/>
          <w:lang w:val="es-ES" w:eastAsia="es-ES"/>
        </w:rPr>
        <w:tab/>
      </w:r>
    </w:p>
    <w:p w14:paraId="69809823" w14:textId="77777777" w:rsidR="00CE58FC" w:rsidRDefault="00CE58FC">
      <w:pPr>
        <w:widowControl/>
        <w:rPr>
          <w:sz w:val="24"/>
          <w:szCs w:val="24"/>
        </w:rPr>
        <w:sectPr w:rsidR="00CE58FC">
          <w:type w:val="continuous"/>
          <w:pgSz w:w="12240" w:h="15840"/>
          <w:pgMar w:top="1480" w:right="1562" w:bottom="220" w:left="7418" w:header="720" w:footer="720" w:gutter="0"/>
          <w:cols w:space="720"/>
          <w:noEndnote/>
        </w:sectPr>
      </w:pPr>
    </w:p>
    <w:p w14:paraId="055960E4" w14:textId="77777777" w:rsidR="00CE58FC" w:rsidRDefault="006629D8">
      <w:pPr>
        <w:kinsoku w:val="0"/>
        <w:overflowPunct w:val="0"/>
        <w:autoSpaceDE/>
        <w:autoSpaceDN/>
        <w:adjustRightInd/>
        <w:spacing w:before="10" w:line="271" w:lineRule="exact"/>
        <w:ind w:left="360" w:right="576"/>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lastRenderedPageBreak/>
        <w:t xml:space="preserve">que para tal efecto establezca la ley en cuanto la pretensión procesal. Así, la legitimación ad </w:t>
      </w:r>
      <w:proofErr w:type="spellStart"/>
      <w:r>
        <w:rPr>
          <w:rFonts w:ascii="Verdana" w:hAnsi="Verdana" w:cs="Verdana"/>
          <w:i/>
          <w:iCs/>
          <w:spacing w:val="-2"/>
          <w:sz w:val="22"/>
          <w:szCs w:val="22"/>
          <w:lang w:val="es-ES" w:eastAsia="es-ES"/>
        </w:rPr>
        <w:t>causam</w:t>
      </w:r>
      <w:proofErr w:type="spellEnd"/>
      <w:r>
        <w:rPr>
          <w:rFonts w:ascii="Verdana" w:hAnsi="Verdana" w:cs="Verdana"/>
          <w:i/>
          <w:iCs/>
          <w:spacing w:val="-2"/>
          <w:sz w:val="22"/>
          <w:szCs w:val="22"/>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14:paraId="50E6CD10" w14:textId="77777777" w:rsidR="00CE58FC" w:rsidRDefault="006629D8">
      <w:pPr>
        <w:kinsoku w:val="0"/>
        <w:overflowPunct w:val="0"/>
        <w:autoSpaceDE/>
        <w:autoSpaceDN/>
        <w:adjustRightInd/>
        <w:spacing w:before="590" w:line="303"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 mayor abundancia considera este Tribunal pertinente referirse a lo siguiente para una mayor claridad de conceptos a la recurrente.</w:t>
      </w:r>
    </w:p>
    <w:p w14:paraId="4155CE88" w14:textId="77777777" w:rsidR="00CE58FC" w:rsidRDefault="006629D8">
      <w:pPr>
        <w:kinsoku w:val="0"/>
        <w:overflowPunct w:val="0"/>
        <w:autoSpaceDE/>
        <w:autoSpaceDN/>
        <w:adjustRightInd/>
        <w:spacing w:before="708" w:line="271" w:lineRule="exact"/>
        <w:ind w:left="144"/>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LOS CONTRATOS CON EL ESTADO</w:t>
      </w:r>
    </w:p>
    <w:p w14:paraId="13E10A94" w14:textId="77777777" w:rsidR="00CE58FC" w:rsidRDefault="006629D8" w:rsidP="004B47C8">
      <w:pPr>
        <w:kinsoku w:val="0"/>
        <w:overflowPunct w:val="0"/>
        <w:autoSpaceDE/>
        <w:autoSpaceDN/>
        <w:adjustRightInd/>
        <w:spacing w:before="153" w:line="401" w:lineRule="exact"/>
        <w:ind w:left="144"/>
        <w:jc w:val="both"/>
        <w:textAlignment w:val="baseline"/>
        <w:rPr>
          <w:rFonts w:ascii="Verdana" w:hAnsi="Verdana" w:cs="Verdana"/>
          <w:sz w:val="22"/>
          <w:szCs w:val="22"/>
          <w:lang w:val="es-ES" w:eastAsia="es-ES"/>
        </w:rPr>
      </w:pPr>
      <w:r>
        <w:rPr>
          <w:rFonts w:ascii="Verdana" w:hAnsi="Verdana" w:cs="Verdana"/>
          <w:sz w:val="22"/>
          <w:szCs w:val="22"/>
          <w:lang w:val="es-ES" w:eastAsia="es-ES"/>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14:paraId="3B5F9B12" w14:textId="77777777" w:rsidR="00CE58FC" w:rsidRDefault="006629D8">
      <w:pPr>
        <w:kinsoku w:val="0"/>
        <w:overflowPunct w:val="0"/>
        <w:autoSpaceDE/>
        <w:autoSpaceDN/>
        <w:adjustRightInd/>
        <w:spacing w:before="395" w:line="40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contrato de concesión de servicios públicos configura la contratación de un modo de gestión del servicio público que consiste en confiar a un particular la operación o ejecución del servicio </w:t>
      </w:r>
      <w:proofErr w:type="gramStart"/>
      <w:r>
        <w:rPr>
          <w:rFonts w:ascii="Verdana" w:hAnsi="Verdana" w:cs="Verdana"/>
          <w:sz w:val="22"/>
          <w:szCs w:val="22"/>
          <w:lang w:val="es-ES" w:eastAsia="es-ES"/>
        </w:rPr>
        <w:t>público</w:t>
      </w:r>
      <w:proofErr w:type="gramEnd"/>
      <w:r>
        <w:rPr>
          <w:rFonts w:ascii="Verdana" w:hAnsi="Verdana" w:cs="Verdana"/>
          <w:sz w:val="22"/>
          <w:szCs w:val="22"/>
          <w:lang w:val="es-ES" w:eastAsia="es-ES"/>
        </w:rPr>
        <w:t xml:space="preserve"> pero sin traspasar el ejercicio de potestades públicas, es una forma de gestión indirecta, para asegurar el funcionamiento de los servicios públicos.</w:t>
      </w:r>
    </w:p>
    <w:p w14:paraId="5DCCCA11" w14:textId="77777777" w:rsidR="00CE58FC" w:rsidRDefault="006629D8">
      <w:pPr>
        <w:kinsoku w:val="0"/>
        <w:overflowPunct w:val="0"/>
        <w:autoSpaceDE/>
        <w:autoSpaceDN/>
        <w:adjustRightInd/>
        <w:spacing w:before="406" w:line="401"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contrato de concesión lo otorga la Administración a particulares o a empresas; para la prestación del servicio público del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14:paraId="1470E7CA" w14:textId="77777777" w:rsidR="00CE58FC" w:rsidRDefault="006629D8">
      <w:pPr>
        <w:tabs>
          <w:tab w:val="right" w:pos="9000"/>
        </w:tabs>
        <w:kinsoku w:val="0"/>
        <w:overflowPunct w:val="0"/>
        <w:autoSpaceDE/>
        <w:autoSpaceDN/>
        <w:adjustRightInd/>
        <w:spacing w:before="1113" w:line="269" w:lineRule="exact"/>
        <w:ind w:left="5760"/>
        <w:textAlignment w:val="baseline"/>
        <w:rPr>
          <w:rFonts w:ascii="Verdana" w:hAnsi="Verdana" w:cs="Verdana"/>
          <w:sz w:val="22"/>
          <w:szCs w:val="22"/>
          <w:lang w:val="es-ES" w:eastAsia="es-ES"/>
        </w:rPr>
      </w:pPr>
      <w:r>
        <w:rPr>
          <w:rFonts w:ascii="Verdana" w:hAnsi="Verdana" w:cs="Verdana"/>
          <w:sz w:val="19"/>
          <w:szCs w:val="19"/>
          <w:lang w:val="es-ES" w:eastAsia="es-ES"/>
        </w:rPr>
        <w:tab/>
      </w:r>
    </w:p>
    <w:p w14:paraId="4A78DC4A" w14:textId="77777777" w:rsidR="00CE58FC" w:rsidRDefault="00CE58FC">
      <w:pPr>
        <w:widowControl/>
        <w:rPr>
          <w:sz w:val="24"/>
          <w:szCs w:val="24"/>
        </w:rPr>
        <w:sectPr w:rsidR="00CE58FC">
          <w:pgSz w:w="12240" w:h="15840"/>
          <w:pgMar w:top="1240" w:right="1575" w:bottom="364" w:left="1585" w:header="720" w:footer="720" w:gutter="0"/>
          <w:cols w:space="720"/>
          <w:noEndnote/>
        </w:sectPr>
      </w:pPr>
    </w:p>
    <w:p w14:paraId="19A7EDA9" w14:textId="77777777" w:rsidR="00CE58FC" w:rsidRDefault="006629D8">
      <w:pPr>
        <w:kinsoku w:val="0"/>
        <w:overflowPunct w:val="0"/>
        <w:autoSpaceDE/>
        <w:autoSpaceDN/>
        <w:adjustRightInd/>
        <w:spacing w:line="372" w:lineRule="exact"/>
        <w:ind w:left="72" w:right="72"/>
        <w:jc w:val="both"/>
        <w:textAlignment w:val="baseline"/>
        <w:rPr>
          <w:rFonts w:ascii="Verdana" w:hAnsi="Verdana" w:cs="Verdana"/>
          <w:i/>
          <w:iCs/>
          <w:spacing w:val="3"/>
          <w:sz w:val="18"/>
          <w:szCs w:val="18"/>
          <w:lang w:val="es-ES" w:eastAsia="es-ES"/>
        </w:rPr>
      </w:pPr>
      <w:r>
        <w:rPr>
          <w:rFonts w:ascii="Verdana" w:hAnsi="Verdana" w:cs="Verdana"/>
          <w:spacing w:val="3"/>
          <w:sz w:val="22"/>
          <w:szCs w:val="22"/>
          <w:lang w:val="es-ES" w:eastAsia="es-ES"/>
        </w:rPr>
        <w:lastRenderedPageBreak/>
        <w:t xml:space="preserve">El contrato administrativo, señala Dromi, </w:t>
      </w:r>
      <w:r>
        <w:rPr>
          <w:rFonts w:ascii="Verdana" w:hAnsi="Verdana" w:cs="Verdana"/>
          <w:spacing w:val="3"/>
          <w:sz w:val="22"/>
          <w:szCs w:val="22"/>
          <w:u w:val="single"/>
          <w:lang w:val="es-ES" w:eastAsia="es-ES"/>
        </w:rPr>
        <w:t>en el Manual de Derecho Administrativo,</w:t>
      </w:r>
      <w:r>
        <w:rPr>
          <w:rFonts w:ascii="Verdana" w:hAnsi="Verdana" w:cs="Verdana"/>
          <w:spacing w:val="3"/>
          <w:sz w:val="22"/>
          <w:szCs w:val="22"/>
          <w:lang w:val="es-ES" w:eastAsia="es-ES"/>
        </w:rPr>
        <w:t xml:space="preserve"> Tomo I, que </w:t>
      </w:r>
      <w:r>
        <w:rPr>
          <w:rFonts w:ascii="Verdana" w:hAnsi="Verdana" w:cs="Verdana"/>
          <w:i/>
          <w:iCs/>
          <w:spacing w:val="3"/>
          <w:sz w:val="18"/>
          <w:szCs w:val="18"/>
          <w:lang w:val="es-ES" w:eastAsia="es-ES"/>
        </w:rPr>
        <w:t xml:space="preserve">"El contrato es una de las técnicas de colaboración de los administrados con </w:t>
      </w:r>
      <w:r>
        <w:rPr>
          <w:rFonts w:ascii="Verdana" w:hAnsi="Verdana" w:cs="Verdana"/>
          <w:spacing w:val="3"/>
          <w:sz w:val="22"/>
          <w:szCs w:val="22"/>
          <w:lang w:val="es-ES" w:eastAsia="es-ES"/>
        </w:rPr>
        <w:t xml:space="preserve">la </w:t>
      </w:r>
      <w:r>
        <w:rPr>
          <w:rFonts w:ascii="Verdana" w:hAnsi="Verdana" w:cs="Verdana"/>
          <w:i/>
          <w:iCs/>
          <w:spacing w:val="3"/>
          <w:sz w:val="18"/>
          <w:szCs w:val="18"/>
          <w:lang w:val="es-ES" w:eastAsia="es-ES"/>
        </w:rPr>
        <w:t>Administración, en materia de suministros, servicios públicos, obras públicas, etcétera. Quien contrata con la Administración, no es un cocontratante ordinario, sino un colaborador que coopera en la ejecución de cometidos públicos, aun actuando en situaciones de subordinación económica jurídica respecto de las personas públicas comitentes. En tal sentido la jurisprudencia ha afirmado</w:t>
      </w:r>
      <w:proofErr w:type="gramStart"/>
      <w:r>
        <w:rPr>
          <w:rFonts w:ascii="Verdana" w:hAnsi="Verdana" w:cs="Verdana"/>
          <w:i/>
          <w:iCs/>
          <w:spacing w:val="3"/>
          <w:sz w:val="18"/>
          <w:szCs w:val="18"/>
          <w:lang w:val="es-ES" w:eastAsia="es-ES"/>
        </w:rPr>
        <w:t xml:space="preserve"> ..</w:t>
      </w:r>
      <w:proofErr w:type="gramEnd"/>
      <w:r>
        <w:rPr>
          <w:rFonts w:ascii="Verdana" w:hAnsi="Verdana" w:cs="Verdana"/>
          <w:i/>
          <w:iCs/>
          <w:spacing w:val="3"/>
          <w:sz w:val="18"/>
          <w:szCs w:val="18"/>
          <w:lang w:val="es-ES" w:eastAsia="es-ES"/>
        </w:rPr>
        <w:t xml:space="preserve">"Los contratos administrativos deben cumplirse de buena fe ... por lo que no debe tratarse al contratista como un adversario al que sea preciso someter con dureza, sino que debe tenérsele como un colaboradora quien, cuando menos, corresponde indicarle con certeza las obligaciones </w:t>
      </w:r>
      <w:r>
        <w:rPr>
          <w:rFonts w:ascii="Verdana" w:hAnsi="Verdana" w:cs="Verdana"/>
          <w:spacing w:val="3"/>
          <w:sz w:val="22"/>
          <w:szCs w:val="22"/>
          <w:lang w:val="es-ES" w:eastAsia="es-ES"/>
        </w:rPr>
        <w:t xml:space="preserve">a </w:t>
      </w:r>
      <w:r>
        <w:rPr>
          <w:rFonts w:ascii="Verdana" w:hAnsi="Verdana" w:cs="Verdana"/>
          <w:i/>
          <w:iCs/>
          <w:spacing w:val="3"/>
          <w:sz w:val="18"/>
          <w:szCs w:val="18"/>
          <w:lang w:val="es-ES" w:eastAsia="es-ES"/>
        </w:rPr>
        <w:t>las que está sujeto....."</w:t>
      </w:r>
    </w:p>
    <w:p w14:paraId="5A5519A6" w14:textId="77777777" w:rsidR="00CE58FC" w:rsidRDefault="006629D8">
      <w:pPr>
        <w:kinsoku w:val="0"/>
        <w:overflowPunct w:val="0"/>
        <w:autoSpaceDE/>
        <w:autoSpaceDN/>
        <w:adjustRightInd/>
        <w:spacing w:before="494" w:line="274"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LOS PRINCIPIOS DEL SERVICIO PÚBLICO</w:t>
      </w:r>
    </w:p>
    <w:p w14:paraId="0DC5EA6C" w14:textId="77777777" w:rsidR="00CE58FC" w:rsidRDefault="006629D8">
      <w:pPr>
        <w:kinsoku w:val="0"/>
        <w:overflowPunct w:val="0"/>
        <w:autoSpaceDE/>
        <w:autoSpaceDN/>
        <w:adjustRightInd/>
        <w:spacing w:before="407" w:line="40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Sobre los Principios del Servicio Público, la Sala Primera de la Corte Suprema de Justicia, mediante Sentencia N°000577-F-2007, señaló lo siguiente:</w:t>
      </w:r>
    </w:p>
    <w:p w14:paraId="7CBEE109" w14:textId="77777777" w:rsidR="00CE58FC" w:rsidRDefault="006629D8">
      <w:pPr>
        <w:kinsoku w:val="0"/>
        <w:overflowPunct w:val="0"/>
        <w:autoSpaceDE/>
        <w:autoSpaceDN/>
        <w:adjustRightInd/>
        <w:spacing w:before="134" w:after="835" w:line="331" w:lineRule="exact"/>
        <w:ind w:left="1440" w:right="1368"/>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teleológico. Desde este plano, el marco normativo le impone, como derivado de una percepción positiva del principio de legalidad, un deber prestacional de los servicios públicos, actividades que guardan una especial vinculación de utilidad con el interés público y </w:t>
      </w:r>
      <w:proofErr w:type="gramStart"/>
      <w:r>
        <w:rPr>
          <w:rFonts w:ascii="Verdana" w:hAnsi="Verdana" w:cs="Verdana"/>
          <w:spacing w:val="-2"/>
          <w:sz w:val="18"/>
          <w:szCs w:val="18"/>
          <w:lang w:val="es-ES" w:eastAsia="es-ES"/>
        </w:rPr>
        <w:t>que</w:t>
      </w:r>
      <w:proofErr w:type="gramEnd"/>
      <w:r>
        <w:rPr>
          <w:rFonts w:ascii="Verdana" w:hAnsi="Verdana" w:cs="Verdana"/>
          <w:spacing w:val="-2"/>
          <w:sz w:val="18"/>
          <w:szCs w:val="18"/>
          <w:lang w:val="es-ES" w:eastAsia="es-ES"/>
        </w:rPr>
        <w:t xml:space="preserve"> por tal, deben ser objeto de una cobertura eficiente, igualitaria, continua y adaptable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w:t>
      </w:r>
    </w:p>
    <w:p w14:paraId="41CC1220" w14:textId="77777777" w:rsidR="00CE58FC" w:rsidRDefault="00CE58FC">
      <w:pPr>
        <w:widowControl/>
        <w:rPr>
          <w:sz w:val="24"/>
          <w:szCs w:val="24"/>
        </w:rPr>
        <w:sectPr w:rsidR="00CE58FC">
          <w:pgSz w:w="12240" w:h="15840"/>
          <w:pgMar w:top="1440" w:right="1508" w:bottom="220" w:left="1652" w:header="720" w:footer="720" w:gutter="0"/>
          <w:cols w:space="720"/>
          <w:noEndnote/>
        </w:sectPr>
      </w:pPr>
    </w:p>
    <w:p w14:paraId="4CE03934" w14:textId="77777777" w:rsidR="00CE58FC" w:rsidRDefault="006629D8">
      <w:pPr>
        <w:tabs>
          <w:tab w:val="right" w:pos="3240"/>
        </w:tabs>
        <w:kinsoku w:val="0"/>
        <w:overflowPunct w:val="0"/>
        <w:autoSpaceDE/>
        <w:autoSpaceDN/>
        <w:adjustRightInd/>
        <w:spacing w:line="223" w:lineRule="exact"/>
        <w:textAlignment w:val="baseline"/>
        <w:rPr>
          <w:rFonts w:ascii="Verdana" w:hAnsi="Verdana" w:cs="Verdana"/>
          <w:i/>
          <w:iCs/>
          <w:sz w:val="18"/>
          <w:szCs w:val="18"/>
          <w:lang w:val="es-ES" w:eastAsia="es-ES"/>
        </w:rPr>
      </w:pPr>
      <w:r>
        <w:rPr>
          <w:rFonts w:ascii="Verdana" w:hAnsi="Verdana" w:cs="Verdana"/>
          <w:sz w:val="18"/>
          <w:szCs w:val="18"/>
          <w:lang w:val="es-ES" w:eastAsia="es-ES"/>
        </w:rPr>
        <w:tab/>
      </w:r>
    </w:p>
    <w:p w14:paraId="50FF6917" w14:textId="77777777" w:rsidR="00CE58FC" w:rsidRDefault="00CE58FC">
      <w:pPr>
        <w:widowControl/>
        <w:rPr>
          <w:sz w:val="24"/>
          <w:szCs w:val="24"/>
        </w:rPr>
        <w:sectPr w:rsidR="00CE58FC">
          <w:type w:val="continuous"/>
          <w:pgSz w:w="12240" w:h="15840"/>
          <w:pgMar w:top="1440" w:right="1540" w:bottom="220" w:left="7440" w:header="720" w:footer="720" w:gutter="0"/>
          <w:cols w:space="720"/>
          <w:noEndnote/>
        </w:sectPr>
      </w:pPr>
    </w:p>
    <w:p w14:paraId="716F7217" w14:textId="77777777" w:rsidR="00CE58FC" w:rsidRDefault="006629D8">
      <w:pPr>
        <w:kinsoku w:val="0"/>
        <w:overflowPunct w:val="0"/>
        <w:autoSpaceDE/>
        <w:autoSpaceDN/>
        <w:adjustRightInd/>
        <w:spacing w:before="33" w:line="330" w:lineRule="exact"/>
        <w:ind w:left="72" w:right="1440"/>
        <w:jc w:val="both"/>
        <w:textAlignment w:val="baseline"/>
        <w:rPr>
          <w:rFonts w:ascii="Verdana" w:hAnsi="Verdana" w:cs="Verdana"/>
          <w:spacing w:val="-4"/>
          <w:sz w:val="18"/>
          <w:szCs w:val="18"/>
          <w:lang w:val="es-ES" w:eastAsia="es-ES"/>
        </w:rPr>
      </w:pPr>
      <w:r>
        <w:rPr>
          <w:rFonts w:ascii="Verdana" w:hAnsi="Verdana" w:cs="Verdana"/>
          <w:spacing w:val="-4"/>
          <w:sz w:val="18"/>
          <w:szCs w:val="18"/>
          <w:lang w:val="es-ES" w:eastAsia="es-ES"/>
        </w:rPr>
        <w:lastRenderedPageBreak/>
        <w:t>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w:t>
      </w:r>
    </w:p>
    <w:p w14:paraId="5B78DB48" w14:textId="77777777" w:rsidR="00CE58FC" w:rsidRPr="004B47C8" w:rsidRDefault="006629D8" w:rsidP="004B47C8">
      <w:pPr>
        <w:numPr>
          <w:ilvl w:val="0"/>
          <w:numId w:val="4"/>
        </w:numPr>
        <w:kinsoku w:val="0"/>
        <w:overflowPunct w:val="0"/>
        <w:autoSpaceDE/>
        <w:autoSpaceDN/>
        <w:adjustRightInd/>
        <w:spacing w:line="328" w:lineRule="exact"/>
        <w:ind w:right="1440"/>
        <w:jc w:val="both"/>
        <w:textAlignment w:val="baseline"/>
        <w:rPr>
          <w:rFonts w:ascii="Verdana" w:hAnsi="Verdana" w:cs="Verdana"/>
          <w:spacing w:val="-1"/>
          <w:sz w:val="18"/>
          <w:szCs w:val="18"/>
          <w:lang w:val="es-ES" w:eastAsia="es-ES"/>
        </w:rPr>
      </w:pPr>
      <w:r w:rsidRPr="004B47C8">
        <w:rPr>
          <w:rFonts w:ascii="Verdana" w:hAnsi="Verdana" w:cs="Verdana"/>
          <w:spacing w:val="-4"/>
          <w:sz w:val="18"/>
          <w:szCs w:val="18"/>
          <w:lang w:val="es-ES" w:eastAsia="es-ES"/>
        </w:rPr>
        <w:t>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w:t>
      </w:r>
      <w:r w:rsidR="004B47C8" w:rsidRPr="004B47C8">
        <w:rPr>
          <w:rFonts w:ascii="Verdana" w:hAnsi="Verdana" w:cs="Verdana"/>
          <w:spacing w:val="-4"/>
          <w:sz w:val="18"/>
          <w:szCs w:val="18"/>
          <w:lang w:val="es-ES" w:eastAsia="es-ES"/>
        </w:rPr>
        <w:t xml:space="preserve"> </w:t>
      </w:r>
      <w:r w:rsidR="004B47C8">
        <w:rPr>
          <w:rFonts w:ascii="Verdana" w:hAnsi="Verdana" w:cs="Verdana"/>
          <w:spacing w:val="-4"/>
          <w:sz w:val="18"/>
          <w:szCs w:val="18"/>
          <w:lang w:val="es-ES" w:eastAsia="es-ES"/>
        </w:rPr>
        <w:t xml:space="preserve">o </w:t>
      </w:r>
      <w:r w:rsidRPr="004B47C8">
        <w:rPr>
          <w:rFonts w:ascii="Verdana" w:hAnsi="Verdana" w:cs="Verdana"/>
          <w:spacing w:val="-1"/>
          <w:sz w:val="18"/>
          <w:szCs w:val="18"/>
          <w:lang w:val="es-ES" w:eastAsia="es-ES"/>
        </w:rPr>
        <w:t>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w:t>
      </w:r>
    </w:p>
    <w:p w14:paraId="46814DF8" w14:textId="77777777" w:rsidR="00CE58FC" w:rsidRDefault="006629D8">
      <w:pPr>
        <w:tabs>
          <w:tab w:val="right" w:pos="7704"/>
        </w:tabs>
        <w:kinsoku w:val="0"/>
        <w:overflowPunct w:val="0"/>
        <w:autoSpaceDE/>
        <w:autoSpaceDN/>
        <w:adjustRightInd/>
        <w:spacing w:before="765" w:line="257" w:lineRule="exact"/>
        <w:ind w:left="4392"/>
        <w:textAlignment w:val="baseline"/>
        <w:rPr>
          <w:rFonts w:ascii="Verdana" w:hAnsi="Verdana" w:cs="Verdana"/>
          <w:sz w:val="18"/>
          <w:szCs w:val="18"/>
          <w:lang w:val="es-ES" w:eastAsia="es-ES"/>
        </w:rPr>
      </w:pPr>
      <w:r>
        <w:rPr>
          <w:rFonts w:ascii="Verdana" w:hAnsi="Verdana" w:cs="Verdana"/>
          <w:sz w:val="18"/>
          <w:szCs w:val="18"/>
          <w:lang w:val="es-ES" w:eastAsia="es-ES"/>
        </w:rPr>
        <w:tab/>
      </w:r>
    </w:p>
    <w:p w14:paraId="699903C0" w14:textId="77777777" w:rsidR="00CE58FC" w:rsidRDefault="00CE58FC">
      <w:pPr>
        <w:widowControl/>
        <w:rPr>
          <w:sz w:val="24"/>
          <w:szCs w:val="24"/>
        </w:rPr>
        <w:sectPr w:rsidR="00CE58FC">
          <w:pgSz w:w="12240" w:h="15840"/>
          <w:pgMar w:top="1120" w:right="1617" w:bottom="384" w:left="2923" w:header="720" w:footer="720" w:gutter="0"/>
          <w:cols w:space="720"/>
          <w:noEndnote/>
        </w:sectPr>
      </w:pPr>
    </w:p>
    <w:p w14:paraId="2E31C2BB" w14:textId="77777777" w:rsidR="00CE58FC" w:rsidRDefault="006629D8" w:rsidP="004B47C8">
      <w:pPr>
        <w:kinsoku w:val="0"/>
        <w:overflowPunct w:val="0"/>
        <w:autoSpaceDE/>
        <w:autoSpaceDN/>
        <w:adjustRightInd/>
        <w:spacing w:before="66" w:line="328" w:lineRule="exact"/>
        <w:ind w:left="1368" w:right="1440"/>
        <w:jc w:val="both"/>
        <w:textAlignment w:val="baseline"/>
        <w:rPr>
          <w:rFonts w:ascii="Verdana" w:hAnsi="Verdana" w:cs="Verdana"/>
          <w:sz w:val="18"/>
          <w:szCs w:val="18"/>
          <w:lang w:val="es-ES" w:eastAsia="es-ES"/>
        </w:rPr>
      </w:pPr>
      <w:r>
        <w:rPr>
          <w:rFonts w:ascii="Verdana" w:hAnsi="Verdana" w:cs="Verdana"/>
          <w:spacing w:val="-3"/>
          <w:sz w:val="18"/>
          <w:szCs w:val="18"/>
          <w:lang w:val="es-ES" w:eastAsia="es-ES"/>
        </w:rPr>
        <w:lastRenderedPageBreak/>
        <w:t>concedente fijar todo lo relacionado a la organización y funcionamiento del servicio, en lo cual, le acude la potestad de m</w:t>
      </w:r>
      <w:r w:rsidR="004B47C8">
        <w:rPr>
          <w:rFonts w:ascii="Verdana" w:hAnsi="Verdana" w:cs="Verdana"/>
          <w:spacing w:val="-3"/>
          <w:sz w:val="18"/>
          <w:szCs w:val="18"/>
          <w:lang w:val="es-ES" w:eastAsia="es-ES"/>
        </w:rPr>
        <w:t>o</w:t>
      </w:r>
      <w:r>
        <w:rPr>
          <w:rFonts w:ascii="Verdana" w:hAnsi="Verdana" w:cs="Verdana"/>
          <w:spacing w:val="-3"/>
          <w:sz w:val="18"/>
          <w:szCs w:val="18"/>
          <w:lang w:val="es-ES" w:eastAsia="es-ES"/>
        </w:rPr>
        <w:t>dificaci</w:t>
      </w:r>
      <w:r w:rsidR="004B47C8">
        <w:rPr>
          <w:rFonts w:ascii="Verdana" w:hAnsi="Verdana" w:cs="Verdana"/>
          <w:spacing w:val="-3"/>
          <w:sz w:val="18"/>
          <w:szCs w:val="18"/>
          <w:lang w:val="es-ES" w:eastAsia="es-ES"/>
        </w:rPr>
        <w:t>ó</w:t>
      </w:r>
      <w:r>
        <w:rPr>
          <w:rFonts w:ascii="Verdana" w:hAnsi="Verdana" w:cs="Verdana"/>
          <w:spacing w:val="-3"/>
          <w:sz w:val="18"/>
          <w:szCs w:val="18"/>
          <w:lang w:val="es-ES" w:eastAsia="es-ES"/>
        </w:rPr>
        <w:t xml:space="preserve">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último señaló en lo relevante: </w:t>
      </w:r>
      <w:r>
        <w:rPr>
          <w:rFonts w:ascii="Verdana" w:hAnsi="Verdana" w:cs="Verdana"/>
          <w:i/>
          <w:iCs/>
          <w:spacing w:val="-3"/>
          <w:sz w:val="18"/>
          <w:szCs w:val="18"/>
          <w:lang w:val="es-ES" w:eastAsia="es-ES"/>
        </w:rPr>
        <w:t>"Desde este punto de vista y siguiendo lo ya dicho por la Sala en sus Sentencias Nos. 785-90 y 1801-90, los reajustes de precios no son de carácter contractual, de tal forma</w:t>
      </w:r>
      <w:r w:rsidR="004B47C8">
        <w:rPr>
          <w:rFonts w:ascii="Verdana" w:hAnsi="Verdana" w:cs="Verdana"/>
          <w:i/>
          <w:iCs/>
          <w:spacing w:val="-3"/>
          <w:sz w:val="18"/>
          <w:szCs w:val="18"/>
          <w:lang w:val="es-ES" w:eastAsia="es-ES"/>
        </w:rPr>
        <w:t xml:space="preserve">, </w:t>
      </w:r>
      <w:r>
        <w:rPr>
          <w:rFonts w:ascii="Verdana" w:hAnsi="Verdana" w:cs="Verdana"/>
          <w:i/>
          <w:iCs/>
          <w:spacing w:val="-3"/>
          <w:sz w:val="18"/>
          <w:szCs w:val="18"/>
          <w:lang w:val="es-ES" w:eastAsia="es-ES"/>
        </w:rPr>
        <w:t xml:space="preserve">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Estada.." </w:t>
      </w:r>
      <w:r>
        <w:rPr>
          <w:rFonts w:ascii="Verdana" w:hAnsi="Verdana" w:cs="Verdana"/>
          <w:spacing w:val="-3"/>
          <w:sz w:val="18"/>
          <w:szCs w:val="18"/>
          <w:lang w:val="es-ES" w:eastAsia="es-ES"/>
        </w:rPr>
        <w:t>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w:t>
      </w:r>
      <w:r w:rsidR="004B47C8">
        <w:rPr>
          <w:rFonts w:ascii="Verdana" w:hAnsi="Verdana" w:cs="Verdana"/>
          <w:spacing w:val="-3"/>
          <w:sz w:val="18"/>
          <w:szCs w:val="18"/>
          <w:lang w:val="es-ES" w:eastAsia="es-ES"/>
        </w:rPr>
        <w:t xml:space="preserve"> </w:t>
      </w:r>
      <w:r>
        <w:rPr>
          <w:rFonts w:ascii="Verdana" w:hAnsi="Verdana" w:cs="Verdana"/>
          <w:sz w:val="18"/>
          <w:szCs w:val="18"/>
          <w:lang w:val="es-ES" w:eastAsia="es-ES"/>
        </w:rPr>
        <w:t>ganancia, y al usuario pagar lo debido por un servicio de calidad</w:t>
      </w:r>
      <w:r w:rsidR="004B47C8">
        <w:rPr>
          <w:rFonts w:ascii="Verdana" w:hAnsi="Verdana" w:cs="Verdana"/>
          <w:sz w:val="18"/>
          <w:szCs w:val="18"/>
          <w:lang w:val="es-ES" w:eastAsia="es-ES"/>
        </w:rPr>
        <w:t xml:space="preserve"> ….</w:t>
      </w:r>
      <w:r>
        <w:rPr>
          <w:rFonts w:ascii="Verdana" w:hAnsi="Verdana" w:cs="Verdana"/>
          <w:sz w:val="18"/>
          <w:szCs w:val="18"/>
          <w:lang w:val="es-ES" w:eastAsia="es-ES"/>
        </w:rPr>
        <w:tab/>
        <w:t>"</w:t>
      </w:r>
    </w:p>
    <w:p w14:paraId="46083B94" w14:textId="77777777" w:rsidR="00CE58FC" w:rsidRDefault="006629D8">
      <w:pPr>
        <w:kinsoku w:val="0"/>
        <w:overflowPunct w:val="0"/>
        <w:autoSpaceDE/>
        <w:autoSpaceDN/>
        <w:adjustRightInd/>
        <w:spacing w:before="197" w:line="311"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De lo anterior se desprende que la concesión, no es un bien que se encuentra a la Libre disposición del concesionario, no puede ser vendido, no puede tampoco ser cedido o traspasado, sino opera una autorización previa de la Administración y no puede ser heredado, pues no constituye un patrimonio del causante, como si lo es el vehículo con el que se presta la misma el cual si es patrimonio del</w:t>
      </w:r>
    </w:p>
    <w:p w14:paraId="44E266B8" w14:textId="77777777" w:rsidR="00CE58FC" w:rsidRDefault="006629D8">
      <w:pPr>
        <w:tabs>
          <w:tab w:val="right" w:pos="9000"/>
        </w:tabs>
        <w:kinsoku w:val="0"/>
        <w:overflowPunct w:val="0"/>
        <w:autoSpaceDE/>
        <w:autoSpaceDN/>
        <w:adjustRightInd/>
        <w:spacing w:before="687" w:line="272" w:lineRule="exact"/>
        <w:ind w:left="5688"/>
        <w:textAlignment w:val="baseline"/>
        <w:rPr>
          <w:rFonts w:ascii="Verdana" w:hAnsi="Verdana" w:cs="Verdana"/>
          <w:sz w:val="22"/>
          <w:szCs w:val="22"/>
          <w:lang w:val="es-ES" w:eastAsia="es-ES"/>
        </w:rPr>
      </w:pPr>
      <w:r>
        <w:rPr>
          <w:rFonts w:ascii="Verdana" w:hAnsi="Verdana" w:cs="Verdana"/>
          <w:sz w:val="18"/>
          <w:szCs w:val="18"/>
          <w:lang w:val="es-ES" w:eastAsia="es-ES"/>
        </w:rPr>
        <w:tab/>
      </w:r>
    </w:p>
    <w:p w14:paraId="3C8B8566" w14:textId="77777777" w:rsidR="00CE58FC" w:rsidRDefault="00CE58FC">
      <w:pPr>
        <w:widowControl/>
        <w:rPr>
          <w:sz w:val="24"/>
          <w:szCs w:val="24"/>
        </w:rPr>
        <w:sectPr w:rsidR="00CE58FC">
          <w:pgSz w:w="12240" w:h="15840"/>
          <w:pgMar w:top="1360" w:right="1479" w:bottom="220" w:left="1681" w:header="720" w:footer="720" w:gutter="0"/>
          <w:cols w:space="720"/>
          <w:noEndnote/>
        </w:sectPr>
      </w:pPr>
    </w:p>
    <w:p w14:paraId="4F896AC0" w14:textId="77777777" w:rsidR="00CE58FC" w:rsidRDefault="006629D8">
      <w:pPr>
        <w:kinsoku w:val="0"/>
        <w:overflowPunct w:val="0"/>
        <w:autoSpaceDE/>
        <w:autoSpaceDN/>
        <w:adjustRightInd/>
        <w:spacing w:before="9" w:line="312" w:lineRule="exact"/>
        <w:ind w:left="216"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concesionario fallecido, por lo anterior y para dar la posibilidad a los familiares, se modifica mediante la Ley 9027 la Ley 7969 y se le adiciona el numeral 42 bis, con el fin de que se pueda dar el traspaso mortis causa en caso de muerte del concesionario, pero éste debió haber designado un beneficiario propietario y uno suplente y presentado a la Administración en vida, lo que en la especie no sucedió.</w:t>
      </w:r>
    </w:p>
    <w:p w14:paraId="65D139A4" w14:textId="77777777" w:rsidR="00CE58FC" w:rsidRDefault="006629D8">
      <w:pPr>
        <w:kinsoku w:val="0"/>
        <w:overflowPunct w:val="0"/>
        <w:autoSpaceDE/>
        <w:autoSpaceDN/>
        <w:adjustRightInd/>
        <w:spacing w:before="319" w:line="312" w:lineRule="exact"/>
        <w:ind w:left="216"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Así las </w:t>
      </w:r>
      <w:proofErr w:type="gramStart"/>
      <w:r>
        <w:rPr>
          <w:rFonts w:ascii="Verdana" w:hAnsi="Verdana" w:cs="Verdana"/>
          <w:sz w:val="22"/>
          <w:szCs w:val="22"/>
          <w:lang w:val="es-ES" w:eastAsia="es-ES"/>
        </w:rPr>
        <w:t>cosas</w:t>
      </w:r>
      <w:proofErr w:type="gramEnd"/>
      <w:r>
        <w:rPr>
          <w:rFonts w:ascii="Verdana" w:hAnsi="Verdana" w:cs="Verdana"/>
          <w:sz w:val="22"/>
          <w:szCs w:val="22"/>
          <w:lang w:val="es-ES" w:eastAsia="es-ES"/>
        </w:rPr>
        <w:t xml:space="preserve"> debe rechazarse el Recurso de Apelación presentado por las razones indicadas supra.</w:t>
      </w:r>
    </w:p>
    <w:p w14:paraId="269D2604" w14:textId="77777777" w:rsidR="00CE58FC" w:rsidRDefault="006629D8">
      <w:pPr>
        <w:kinsoku w:val="0"/>
        <w:overflowPunct w:val="0"/>
        <w:autoSpaceDE/>
        <w:autoSpaceDN/>
        <w:adjustRightInd/>
        <w:spacing w:before="662" w:line="265"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14:paraId="75C82E55" w14:textId="77777777" w:rsidR="00CE58FC" w:rsidRDefault="006629D8">
      <w:pPr>
        <w:numPr>
          <w:ilvl w:val="0"/>
          <w:numId w:val="5"/>
        </w:numPr>
        <w:kinsoku w:val="0"/>
        <w:overflowPunct w:val="0"/>
        <w:autoSpaceDE/>
        <w:autoSpaceDN/>
        <w:adjustRightInd/>
        <w:spacing w:before="359" w:line="268" w:lineRule="exact"/>
        <w:ind w:right="360"/>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 xml:space="preserve">Se rechaza por Falta de Legitimación el </w:t>
      </w:r>
      <w:r>
        <w:rPr>
          <w:rFonts w:ascii="Verdana" w:hAnsi="Verdana" w:cs="Verdana"/>
          <w:b/>
          <w:bCs/>
          <w:spacing w:val="-6"/>
          <w:sz w:val="18"/>
          <w:szCs w:val="18"/>
          <w:lang w:val="es-ES" w:eastAsia="es-ES"/>
        </w:rPr>
        <w:t xml:space="preserve">RECURSO DE APELACIÓN EN SUBSIDIO, </w:t>
      </w:r>
      <w:r>
        <w:rPr>
          <w:rFonts w:ascii="Verdana" w:hAnsi="Verdana" w:cs="Verdana"/>
          <w:spacing w:val="-6"/>
          <w:sz w:val="22"/>
          <w:szCs w:val="22"/>
          <w:lang w:val="es-ES" w:eastAsia="es-ES"/>
        </w:rPr>
        <w:t xml:space="preserve">interpuesto por la señora </w:t>
      </w:r>
      <w:r>
        <w:rPr>
          <w:rFonts w:ascii="Verdana" w:hAnsi="Verdana" w:cs="Verdana"/>
          <w:b/>
          <w:bCs/>
          <w:spacing w:val="-6"/>
          <w:sz w:val="22"/>
          <w:szCs w:val="22"/>
          <w:lang w:val="es-ES" w:eastAsia="es-ES"/>
        </w:rPr>
        <w:t>G</w:t>
      </w:r>
      <w:r w:rsidR="004B47C8">
        <w:rPr>
          <w:rFonts w:ascii="Verdana" w:hAnsi="Verdana" w:cs="Verdana"/>
          <w:b/>
          <w:bCs/>
          <w:spacing w:val="-6"/>
          <w:sz w:val="22"/>
          <w:szCs w:val="22"/>
          <w:lang w:val="es-ES" w:eastAsia="es-ES"/>
        </w:rPr>
        <w:t>.L.N.P.</w:t>
      </w:r>
      <w:r>
        <w:rPr>
          <w:rFonts w:ascii="Verdana" w:hAnsi="Verdana" w:cs="Verdana"/>
          <w:b/>
          <w:bCs/>
          <w:spacing w:val="-6"/>
          <w:sz w:val="22"/>
          <w:szCs w:val="22"/>
          <w:lang w:val="es-ES" w:eastAsia="es-ES"/>
        </w:rPr>
        <w:t xml:space="preserve">, cédula de identidad </w:t>
      </w:r>
      <w:r w:rsidR="004B47C8">
        <w:rPr>
          <w:rFonts w:ascii="Verdana" w:hAnsi="Verdana" w:cs="Verdana"/>
          <w:b/>
          <w:bCs/>
          <w:spacing w:val="-6"/>
          <w:sz w:val="22"/>
          <w:szCs w:val="22"/>
          <w:lang w:val="es-ES" w:eastAsia="es-ES"/>
        </w:rPr>
        <w:t>…</w:t>
      </w:r>
      <w:r>
        <w:rPr>
          <w:rFonts w:ascii="Verdana" w:hAnsi="Verdana" w:cs="Verdana"/>
          <w:b/>
          <w:bCs/>
          <w:spacing w:val="-6"/>
          <w:sz w:val="22"/>
          <w:szCs w:val="22"/>
          <w:lang w:val="es-ES" w:eastAsia="es-ES"/>
        </w:rPr>
        <w:t>, por medio de su Apoderado Especial Administrativo, L</w:t>
      </w:r>
      <w:r w:rsidR="004B47C8">
        <w:rPr>
          <w:rFonts w:ascii="Verdana" w:hAnsi="Verdana" w:cs="Verdana"/>
          <w:b/>
          <w:bCs/>
          <w:spacing w:val="-6"/>
          <w:sz w:val="22"/>
          <w:szCs w:val="22"/>
          <w:lang w:val="es-ES" w:eastAsia="es-ES"/>
        </w:rPr>
        <w:t>.R.A.P.</w:t>
      </w:r>
      <w:r>
        <w:rPr>
          <w:rFonts w:ascii="Verdana" w:hAnsi="Verdana" w:cs="Verdana"/>
          <w:b/>
          <w:bCs/>
          <w:spacing w:val="-6"/>
          <w:sz w:val="22"/>
          <w:szCs w:val="22"/>
          <w:lang w:val="es-ES" w:eastAsia="es-ES"/>
        </w:rPr>
        <w:t xml:space="preserve">, cédula de identidad número </w:t>
      </w:r>
      <w:r w:rsidR="004B47C8">
        <w:rPr>
          <w:rFonts w:ascii="Verdana" w:hAnsi="Verdana" w:cs="Verdana"/>
          <w:b/>
          <w:bCs/>
          <w:spacing w:val="-6"/>
          <w:sz w:val="22"/>
          <w:szCs w:val="22"/>
          <w:lang w:val="es-ES" w:eastAsia="es-ES"/>
        </w:rPr>
        <w:t>…</w:t>
      </w:r>
      <w:r>
        <w:rPr>
          <w:rFonts w:ascii="Verdana" w:hAnsi="Verdana" w:cs="Verdana"/>
          <w:b/>
          <w:bCs/>
          <w:spacing w:val="-6"/>
          <w:sz w:val="22"/>
          <w:szCs w:val="22"/>
          <w:lang w:val="es-ES" w:eastAsia="es-ES"/>
        </w:rPr>
        <w:t xml:space="preserve"> </w:t>
      </w:r>
      <w:r>
        <w:rPr>
          <w:rFonts w:ascii="Verdana" w:hAnsi="Verdana" w:cs="Verdana"/>
          <w:spacing w:val="-6"/>
          <w:sz w:val="22"/>
          <w:szCs w:val="22"/>
          <w:lang w:val="es-ES" w:eastAsia="es-ES"/>
        </w:rPr>
        <w:t xml:space="preserve">contra el </w:t>
      </w:r>
      <w:r>
        <w:rPr>
          <w:rFonts w:ascii="Verdana" w:hAnsi="Verdana" w:cs="Verdana"/>
          <w:b/>
          <w:bCs/>
          <w:spacing w:val="-6"/>
          <w:sz w:val="22"/>
          <w:szCs w:val="22"/>
          <w:lang w:val="es-ES" w:eastAsia="es-ES"/>
        </w:rPr>
        <w:t xml:space="preserve">Artículo 7.6 de la Sesión Ordinaria 28-2018 de 4 de setiembre de 2018 </w:t>
      </w:r>
      <w:r>
        <w:rPr>
          <w:rFonts w:ascii="Verdana" w:hAnsi="Verdana" w:cs="Verdana"/>
          <w:spacing w:val="-6"/>
          <w:sz w:val="22"/>
          <w:szCs w:val="22"/>
          <w:lang w:val="es-ES" w:eastAsia="es-ES"/>
        </w:rPr>
        <w:t>dictado por la JUNTA DIRECTIVA DEL CONSEJO DE TRANSPORTE PÚBLICO.</w:t>
      </w:r>
    </w:p>
    <w:p w14:paraId="1BA66CA4" w14:textId="77777777" w:rsidR="00CE58FC" w:rsidRDefault="006629D8">
      <w:pPr>
        <w:numPr>
          <w:ilvl w:val="0"/>
          <w:numId w:val="6"/>
        </w:numPr>
        <w:kinsoku w:val="0"/>
        <w:overflowPunct w:val="0"/>
        <w:autoSpaceDE/>
        <w:autoSpaceDN/>
        <w:adjustRightInd/>
        <w:spacing w:before="277" w:line="274" w:lineRule="exact"/>
        <w:ind w:right="360"/>
        <w:jc w:val="both"/>
        <w:textAlignment w:val="baseline"/>
        <w:rPr>
          <w:rFonts w:ascii="Verdana" w:hAnsi="Verdana" w:cs="Verdana"/>
          <w:i/>
          <w:iCs/>
          <w:spacing w:val="-1"/>
          <w:sz w:val="22"/>
          <w:szCs w:val="22"/>
          <w:lang w:val="es-ES" w:eastAsia="es-ES"/>
        </w:rPr>
      </w:pPr>
      <w:r>
        <w:rPr>
          <w:rFonts w:ascii="Verdana" w:hAnsi="Verdana" w:cs="Verdana"/>
          <w:spacing w:val="-1"/>
          <w:sz w:val="22"/>
          <w:szCs w:val="22"/>
          <w:lang w:val="es-ES" w:eastAsia="es-ES"/>
        </w:rPr>
        <w:t xml:space="preserve">De conformidad con el artículo 22, inciso c), de la citada Ley 7969, la presente resolución no tiene ulterior recurso por lo que, </w:t>
      </w:r>
      <w:r>
        <w:rPr>
          <w:rFonts w:ascii="Verdana" w:hAnsi="Verdana" w:cs="Verdana"/>
          <w:b/>
          <w:bCs/>
          <w:spacing w:val="-1"/>
          <w:sz w:val="22"/>
          <w:szCs w:val="22"/>
          <w:lang w:val="es-ES" w:eastAsia="es-ES"/>
        </w:rPr>
        <w:t xml:space="preserve">se </w:t>
      </w:r>
      <w:r>
        <w:rPr>
          <w:rFonts w:ascii="Verdana" w:hAnsi="Verdana" w:cs="Verdana"/>
          <w:i/>
          <w:iCs/>
          <w:spacing w:val="-1"/>
          <w:sz w:val="22"/>
          <w:szCs w:val="22"/>
          <w:lang w:val="es-ES" w:eastAsia="es-ES"/>
        </w:rPr>
        <w:t xml:space="preserve">tiene por agotada </w:t>
      </w:r>
      <w:proofErr w:type="spellStart"/>
      <w:r>
        <w:rPr>
          <w:rFonts w:ascii="Verdana" w:hAnsi="Verdana" w:cs="Verdana"/>
          <w:i/>
          <w:iCs/>
          <w:spacing w:val="-1"/>
          <w:sz w:val="22"/>
          <w:szCs w:val="22"/>
          <w:lang w:val="es-ES" w:eastAsia="es-ES"/>
        </w:rPr>
        <w:t>ia</w:t>
      </w:r>
      <w:proofErr w:type="spellEnd"/>
    </w:p>
    <w:p w14:paraId="5AA2897F" w14:textId="77777777" w:rsidR="00CE58FC" w:rsidRDefault="006629D8" w:rsidP="004B47C8">
      <w:pPr>
        <w:kinsoku w:val="0"/>
        <w:overflowPunct w:val="0"/>
        <w:autoSpaceDE/>
        <w:autoSpaceDN/>
        <w:adjustRightInd/>
        <w:spacing w:before="30" w:line="268" w:lineRule="exact"/>
        <w:ind w:left="216"/>
        <w:textAlignment w:val="baseline"/>
        <w:rPr>
          <w:rFonts w:ascii="Verdana" w:hAnsi="Verdana" w:cs="Verdana"/>
          <w:b/>
          <w:bCs/>
          <w:sz w:val="22"/>
          <w:szCs w:val="22"/>
          <w:lang w:val="es-ES" w:eastAsia="es-ES"/>
        </w:rPr>
      </w:pPr>
      <w:r>
        <w:rPr>
          <w:rFonts w:ascii="Verdana" w:hAnsi="Verdana" w:cs="Verdana"/>
          <w:i/>
          <w:iCs/>
          <w:sz w:val="22"/>
          <w:szCs w:val="22"/>
          <w:lang w:val="es-ES" w:eastAsia="es-ES"/>
        </w:rPr>
        <w:t xml:space="preserve">vía administrativa. </w:t>
      </w:r>
      <w:r>
        <w:rPr>
          <w:rFonts w:ascii="Verdana" w:hAnsi="Verdana" w:cs="Verdana"/>
          <w:b/>
          <w:bCs/>
          <w:sz w:val="22"/>
          <w:szCs w:val="22"/>
          <w:lang w:val="es-ES" w:eastAsia="es-ES"/>
        </w:rPr>
        <w:t xml:space="preserve">NOTIFIQUESE. </w:t>
      </w:r>
      <w:r w:rsidR="004B47C8">
        <w:rPr>
          <w:rFonts w:ascii="Verdana" w:hAnsi="Verdana" w:cs="Verdana"/>
          <w:b/>
          <w:bCs/>
          <w:sz w:val="22"/>
          <w:szCs w:val="22"/>
          <w:lang w:val="es-ES" w:eastAsia="es-ES"/>
        </w:rPr>
        <w:t>–</w:t>
      </w:r>
    </w:p>
    <w:p w14:paraId="2881B6A3" w14:textId="77777777" w:rsidR="004B47C8" w:rsidRDefault="004B47C8" w:rsidP="004B47C8">
      <w:pPr>
        <w:kinsoku w:val="0"/>
        <w:overflowPunct w:val="0"/>
        <w:autoSpaceDE/>
        <w:autoSpaceDN/>
        <w:adjustRightInd/>
        <w:spacing w:before="30" w:line="268" w:lineRule="exact"/>
        <w:ind w:left="216"/>
        <w:textAlignment w:val="baseline"/>
        <w:rPr>
          <w:sz w:val="24"/>
          <w:szCs w:val="24"/>
        </w:rPr>
      </w:pPr>
    </w:p>
    <w:p w14:paraId="13485B77" w14:textId="77777777" w:rsidR="004B47C8" w:rsidRDefault="004B47C8" w:rsidP="004B47C8">
      <w:pPr>
        <w:kinsoku w:val="0"/>
        <w:overflowPunct w:val="0"/>
        <w:autoSpaceDE/>
        <w:autoSpaceDN/>
        <w:adjustRightInd/>
        <w:spacing w:before="30" w:line="268" w:lineRule="exact"/>
        <w:ind w:left="216"/>
        <w:textAlignment w:val="baseline"/>
        <w:rPr>
          <w:sz w:val="24"/>
          <w:szCs w:val="24"/>
        </w:rPr>
      </w:pPr>
    </w:p>
    <w:p w14:paraId="59E9AC4F" w14:textId="77777777" w:rsidR="004B47C8" w:rsidRDefault="004B47C8" w:rsidP="004B47C8">
      <w:pPr>
        <w:kinsoku w:val="0"/>
        <w:overflowPunct w:val="0"/>
        <w:autoSpaceDE/>
        <w:autoSpaceDN/>
        <w:adjustRightInd/>
        <w:spacing w:before="30" w:line="268" w:lineRule="exact"/>
        <w:ind w:left="216"/>
        <w:textAlignment w:val="baseline"/>
        <w:rPr>
          <w:sz w:val="24"/>
          <w:szCs w:val="24"/>
        </w:rPr>
      </w:pPr>
    </w:p>
    <w:p w14:paraId="748448DC" w14:textId="77777777" w:rsidR="004B47C8" w:rsidRPr="004B47C8" w:rsidRDefault="004B47C8" w:rsidP="004B47C8">
      <w:pPr>
        <w:pStyle w:val="Ttulo1"/>
        <w:spacing w:before="0" w:after="0"/>
        <w:ind w:left="0" w:right="222"/>
        <w:jc w:val="center"/>
        <w:rPr>
          <w:rFonts w:ascii="Times New Roman" w:hAnsi="Times New Roman" w:cs="Times New Roman"/>
          <w:b w:val="0"/>
          <w:color w:val="000000"/>
          <w:sz w:val="24"/>
          <w:szCs w:val="24"/>
        </w:rPr>
      </w:pPr>
      <w:r w:rsidRPr="004B47C8">
        <w:rPr>
          <w:rFonts w:ascii="Times New Roman" w:hAnsi="Times New Roman" w:cs="Times New Roman"/>
          <w:b w:val="0"/>
          <w:color w:val="000000"/>
          <w:sz w:val="24"/>
          <w:szCs w:val="24"/>
        </w:rPr>
        <w:t>Lic. Ronald Muñoz Corea</w:t>
      </w:r>
    </w:p>
    <w:p w14:paraId="11EC0AEC" w14:textId="77777777" w:rsidR="004B47C8" w:rsidRPr="004B47C8" w:rsidRDefault="004B47C8" w:rsidP="004B47C8">
      <w:pPr>
        <w:ind w:right="222"/>
        <w:jc w:val="center"/>
        <w:rPr>
          <w:b/>
          <w:bCs/>
          <w:color w:val="000000"/>
          <w:sz w:val="24"/>
          <w:szCs w:val="24"/>
        </w:rPr>
      </w:pPr>
      <w:proofErr w:type="spellStart"/>
      <w:r w:rsidRPr="004B47C8">
        <w:rPr>
          <w:b/>
          <w:bCs/>
          <w:color w:val="000000"/>
          <w:sz w:val="24"/>
          <w:szCs w:val="24"/>
        </w:rPr>
        <w:t>Presidente</w:t>
      </w:r>
      <w:proofErr w:type="spellEnd"/>
    </w:p>
    <w:p w14:paraId="276BC1E6" w14:textId="77777777" w:rsidR="004B47C8" w:rsidRPr="004B47C8" w:rsidRDefault="004B47C8" w:rsidP="004B47C8">
      <w:pPr>
        <w:pStyle w:val="Ttulo1"/>
        <w:spacing w:before="0" w:after="0"/>
        <w:ind w:left="0" w:right="222"/>
        <w:jc w:val="center"/>
        <w:rPr>
          <w:rFonts w:ascii="Times New Roman" w:hAnsi="Times New Roman" w:cs="Times New Roman"/>
          <w:b w:val="0"/>
          <w:color w:val="000000"/>
          <w:sz w:val="24"/>
          <w:szCs w:val="24"/>
        </w:rPr>
      </w:pPr>
    </w:p>
    <w:p w14:paraId="6BFA56F0" w14:textId="77777777" w:rsidR="004B47C8" w:rsidRPr="004B47C8" w:rsidRDefault="004B47C8" w:rsidP="004B47C8">
      <w:pPr>
        <w:ind w:right="222"/>
        <w:jc w:val="center"/>
        <w:rPr>
          <w:color w:val="000000"/>
          <w:lang w:eastAsia="es-ES"/>
        </w:rPr>
      </w:pPr>
    </w:p>
    <w:p w14:paraId="7DE632D7" w14:textId="77777777" w:rsidR="004B47C8" w:rsidRPr="004B47C8" w:rsidRDefault="004B47C8" w:rsidP="004B47C8">
      <w:pPr>
        <w:ind w:right="222"/>
        <w:jc w:val="center"/>
        <w:rPr>
          <w:color w:val="000000"/>
          <w:lang w:eastAsia="es-ES"/>
        </w:rPr>
      </w:pPr>
    </w:p>
    <w:p w14:paraId="0339537A" w14:textId="77777777" w:rsidR="004B47C8" w:rsidRPr="004B47C8" w:rsidRDefault="004B47C8" w:rsidP="004B47C8">
      <w:pPr>
        <w:ind w:right="222"/>
        <w:jc w:val="center"/>
        <w:rPr>
          <w:color w:val="000000"/>
          <w:lang w:eastAsia="es-ES"/>
        </w:rPr>
      </w:pPr>
    </w:p>
    <w:p w14:paraId="49441C0D" w14:textId="77777777" w:rsidR="004B47C8" w:rsidRPr="004B47C8" w:rsidRDefault="004B47C8" w:rsidP="004B47C8">
      <w:pPr>
        <w:pStyle w:val="Ttulo1"/>
        <w:spacing w:before="0" w:after="0"/>
        <w:ind w:left="0" w:right="222"/>
        <w:jc w:val="center"/>
        <w:rPr>
          <w:rFonts w:ascii="Times New Roman" w:hAnsi="Times New Roman" w:cs="Times New Roman"/>
          <w:b w:val="0"/>
          <w:color w:val="000000"/>
          <w:sz w:val="24"/>
          <w:szCs w:val="24"/>
        </w:rPr>
      </w:pPr>
      <w:r w:rsidRPr="004B47C8">
        <w:rPr>
          <w:rFonts w:ascii="Times New Roman" w:hAnsi="Times New Roman" w:cs="Times New Roman"/>
          <w:b w:val="0"/>
          <w:color w:val="000000"/>
          <w:sz w:val="24"/>
          <w:szCs w:val="24"/>
        </w:rPr>
        <w:t xml:space="preserve">Lic. Mario Quesada Aguirre          </w:t>
      </w:r>
      <w:r w:rsidRPr="004B47C8">
        <w:rPr>
          <w:rFonts w:ascii="Times New Roman" w:hAnsi="Times New Roman" w:cs="Times New Roman"/>
          <w:b w:val="0"/>
          <w:color w:val="000000"/>
          <w:sz w:val="24"/>
          <w:szCs w:val="24"/>
        </w:rPr>
        <w:tab/>
      </w:r>
      <w:r w:rsidRPr="004B47C8">
        <w:rPr>
          <w:rFonts w:ascii="Times New Roman" w:hAnsi="Times New Roman" w:cs="Times New Roman"/>
          <w:b w:val="0"/>
          <w:color w:val="000000"/>
          <w:sz w:val="24"/>
          <w:szCs w:val="24"/>
        </w:rPr>
        <w:tab/>
        <w:t xml:space="preserve"> Lic. Carlos Miguel Portuguez Méndez</w:t>
      </w:r>
    </w:p>
    <w:p w14:paraId="54F5096C" w14:textId="77777777" w:rsidR="004B47C8" w:rsidRPr="004B47C8" w:rsidRDefault="004B47C8" w:rsidP="004B47C8">
      <w:pPr>
        <w:pStyle w:val="Ttulo1"/>
        <w:spacing w:before="0" w:after="0"/>
        <w:ind w:left="0" w:right="222"/>
        <w:jc w:val="center"/>
        <w:rPr>
          <w:rFonts w:ascii="Times New Roman" w:hAnsi="Times New Roman" w:cs="Times New Roman"/>
          <w:bCs w:val="0"/>
          <w:color w:val="000000"/>
          <w:sz w:val="24"/>
          <w:szCs w:val="24"/>
        </w:rPr>
      </w:pPr>
      <w:r w:rsidRPr="004B47C8">
        <w:rPr>
          <w:rFonts w:ascii="Times New Roman" w:hAnsi="Times New Roman" w:cs="Times New Roman"/>
          <w:bCs w:val="0"/>
          <w:color w:val="000000"/>
          <w:sz w:val="24"/>
          <w:szCs w:val="24"/>
        </w:rPr>
        <w:t xml:space="preserve">Juez </w:t>
      </w:r>
      <w:r w:rsidRPr="004B47C8">
        <w:rPr>
          <w:rFonts w:ascii="Times New Roman" w:hAnsi="Times New Roman" w:cs="Times New Roman"/>
          <w:bCs w:val="0"/>
          <w:color w:val="000000"/>
          <w:sz w:val="24"/>
          <w:szCs w:val="24"/>
        </w:rPr>
        <w:tab/>
      </w:r>
      <w:r w:rsidRPr="004B47C8">
        <w:rPr>
          <w:rFonts w:ascii="Times New Roman" w:hAnsi="Times New Roman" w:cs="Times New Roman"/>
          <w:bCs w:val="0"/>
          <w:color w:val="000000"/>
          <w:sz w:val="24"/>
          <w:szCs w:val="24"/>
        </w:rPr>
        <w:tab/>
      </w:r>
      <w:r w:rsidRPr="004B47C8">
        <w:rPr>
          <w:rFonts w:ascii="Times New Roman" w:hAnsi="Times New Roman" w:cs="Times New Roman"/>
          <w:bCs w:val="0"/>
          <w:color w:val="000000"/>
          <w:sz w:val="24"/>
          <w:szCs w:val="24"/>
        </w:rPr>
        <w:tab/>
      </w:r>
      <w:r w:rsidRPr="004B47C8">
        <w:rPr>
          <w:rFonts w:ascii="Times New Roman" w:hAnsi="Times New Roman" w:cs="Times New Roman"/>
          <w:bCs w:val="0"/>
          <w:color w:val="000000"/>
          <w:sz w:val="24"/>
          <w:szCs w:val="24"/>
        </w:rPr>
        <w:tab/>
        <w:t xml:space="preserve">     </w:t>
      </w:r>
      <w:r w:rsidRPr="004B47C8">
        <w:rPr>
          <w:rFonts w:ascii="Times New Roman" w:hAnsi="Times New Roman" w:cs="Times New Roman"/>
          <w:bCs w:val="0"/>
          <w:color w:val="000000"/>
          <w:sz w:val="24"/>
          <w:szCs w:val="24"/>
        </w:rPr>
        <w:tab/>
      </w:r>
      <w:r w:rsidRPr="004B47C8">
        <w:rPr>
          <w:rFonts w:ascii="Times New Roman" w:hAnsi="Times New Roman" w:cs="Times New Roman"/>
          <w:bCs w:val="0"/>
          <w:color w:val="000000"/>
          <w:sz w:val="24"/>
          <w:szCs w:val="24"/>
        </w:rPr>
        <w:tab/>
      </w:r>
      <w:r w:rsidRPr="004B47C8">
        <w:rPr>
          <w:rFonts w:ascii="Times New Roman" w:hAnsi="Times New Roman" w:cs="Times New Roman"/>
          <w:bCs w:val="0"/>
          <w:color w:val="000000"/>
          <w:sz w:val="24"/>
          <w:szCs w:val="24"/>
        </w:rPr>
        <w:tab/>
        <w:t xml:space="preserve"> </w:t>
      </w:r>
      <w:proofErr w:type="spellStart"/>
      <w:r w:rsidRPr="004B47C8">
        <w:rPr>
          <w:rFonts w:ascii="Times New Roman" w:hAnsi="Times New Roman" w:cs="Times New Roman"/>
          <w:bCs w:val="0"/>
          <w:color w:val="000000"/>
          <w:sz w:val="24"/>
          <w:szCs w:val="24"/>
        </w:rPr>
        <w:t>Juez</w:t>
      </w:r>
      <w:proofErr w:type="spellEnd"/>
    </w:p>
    <w:p w14:paraId="577757E3" w14:textId="77777777" w:rsidR="004B47C8" w:rsidRPr="004B47C8" w:rsidRDefault="004B47C8" w:rsidP="004B47C8">
      <w:pPr>
        <w:pStyle w:val="Sinespaciado"/>
        <w:ind w:right="222"/>
        <w:jc w:val="center"/>
        <w:rPr>
          <w:color w:val="000000"/>
        </w:rPr>
      </w:pPr>
    </w:p>
    <w:p w14:paraId="18738FA3" w14:textId="77777777" w:rsidR="004B47C8" w:rsidRDefault="004B47C8" w:rsidP="004B47C8">
      <w:pPr>
        <w:kinsoku w:val="0"/>
        <w:overflowPunct w:val="0"/>
        <w:autoSpaceDE/>
        <w:autoSpaceDN/>
        <w:adjustRightInd/>
        <w:spacing w:before="30" w:line="268" w:lineRule="exact"/>
        <w:ind w:left="216" w:right="222"/>
        <w:textAlignment w:val="baseline"/>
        <w:rPr>
          <w:sz w:val="24"/>
          <w:szCs w:val="24"/>
        </w:rPr>
      </w:pPr>
    </w:p>
    <w:sectPr w:rsidR="004B47C8" w:rsidSect="004B47C8">
      <w:pgSz w:w="12240" w:h="15840"/>
      <w:pgMar w:top="1180" w:right="1354" w:bottom="384" w:left="1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1125"/>
    <w:multiLevelType w:val="singleLevel"/>
    <w:tmpl w:val="2024831E"/>
    <w:lvl w:ilvl="0">
      <w:numFmt w:val="bullet"/>
      <w:lvlText w:val="o"/>
      <w:lvlJc w:val="left"/>
      <w:pPr>
        <w:tabs>
          <w:tab w:val="num" w:pos="720"/>
        </w:tabs>
        <w:ind w:left="576"/>
      </w:pPr>
      <w:rPr>
        <w:rFonts w:ascii="Courier New" w:hAnsi="Courier New" w:cs="Courier New"/>
        <w:snapToGrid/>
        <w:sz w:val="20"/>
        <w:szCs w:val="20"/>
      </w:rPr>
    </w:lvl>
  </w:abstractNum>
  <w:abstractNum w:abstractNumId="1" w15:restartNumberingAfterBreak="0">
    <w:nsid w:val="03F74794"/>
    <w:multiLevelType w:val="singleLevel"/>
    <w:tmpl w:val="1750B3B6"/>
    <w:lvl w:ilvl="0">
      <w:start w:val="1"/>
      <w:numFmt w:val="upperRoman"/>
      <w:lvlText w:val="%1.-"/>
      <w:lvlJc w:val="left"/>
      <w:pPr>
        <w:tabs>
          <w:tab w:val="num" w:pos="648"/>
        </w:tabs>
        <w:ind w:left="216"/>
      </w:pPr>
      <w:rPr>
        <w:rFonts w:ascii="Verdana" w:hAnsi="Verdana" w:cs="Verdana"/>
        <w:b/>
        <w:bCs/>
        <w:snapToGrid/>
        <w:spacing w:val="-6"/>
        <w:sz w:val="22"/>
        <w:szCs w:val="22"/>
      </w:rPr>
    </w:lvl>
  </w:abstractNum>
  <w:num w:numId="1">
    <w:abstractNumId w:val="0"/>
  </w:num>
  <w:num w:numId="2">
    <w:abstractNumId w:val="0"/>
    <w:lvlOverride w:ilvl="0">
      <w:lvl w:ilvl="0">
        <w:numFmt w:val="bullet"/>
        <w:lvlText w:val="o"/>
        <w:lvlJc w:val="left"/>
        <w:pPr>
          <w:tabs>
            <w:tab w:val="num" w:pos="792"/>
          </w:tabs>
          <w:ind w:left="576"/>
        </w:pPr>
        <w:rPr>
          <w:rFonts w:ascii="Courier New" w:hAnsi="Courier New" w:cs="Courier New"/>
          <w:snapToGrid/>
          <w:spacing w:val="-2"/>
          <w:sz w:val="20"/>
          <w:szCs w:val="20"/>
        </w:rPr>
      </w:lvl>
    </w:lvlOverride>
  </w:num>
  <w:num w:numId="3">
    <w:abstractNumId w:val="0"/>
    <w:lvlOverride w:ilvl="0">
      <w:lvl w:ilvl="0">
        <w:numFmt w:val="bullet"/>
        <w:lvlText w:val="o"/>
        <w:lvlJc w:val="left"/>
        <w:pPr>
          <w:tabs>
            <w:tab w:val="num" w:pos="216"/>
          </w:tabs>
          <w:ind w:left="72"/>
        </w:pPr>
        <w:rPr>
          <w:rFonts w:ascii="Courier New" w:hAnsi="Courier New" w:cs="Courier New"/>
          <w:snapToGrid/>
          <w:spacing w:val="-4"/>
          <w:sz w:val="18"/>
          <w:szCs w:val="18"/>
        </w:rPr>
      </w:lvl>
    </w:lvlOverride>
  </w:num>
  <w:num w:numId="4">
    <w:abstractNumId w:val="0"/>
    <w:lvlOverride w:ilvl="0">
      <w:lvl w:ilvl="0">
        <w:numFmt w:val="bullet"/>
        <w:lvlText w:val="o"/>
        <w:lvlJc w:val="left"/>
        <w:pPr>
          <w:tabs>
            <w:tab w:val="num" w:pos="288"/>
          </w:tabs>
          <w:ind w:left="72"/>
        </w:pPr>
        <w:rPr>
          <w:rFonts w:ascii="Courier New" w:hAnsi="Courier New" w:cs="Courier New"/>
          <w:snapToGrid/>
          <w:spacing w:val="-1"/>
          <w:sz w:val="18"/>
          <w:szCs w:val="18"/>
        </w:rPr>
      </w:lvl>
    </w:lvlOverride>
  </w:num>
  <w:num w:numId="5">
    <w:abstractNumId w:val="1"/>
  </w:num>
  <w:num w:numId="6">
    <w:abstractNumId w:val="1"/>
    <w:lvlOverride w:ilvl="0">
      <w:lvl w:ilvl="0">
        <w:numFmt w:val="upperRoman"/>
        <w:lvlText w:val="%1.-"/>
        <w:lvlJc w:val="left"/>
        <w:pPr>
          <w:tabs>
            <w:tab w:val="num" w:pos="936"/>
          </w:tabs>
          <w:ind w:left="216"/>
        </w:pPr>
        <w:rPr>
          <w:rFonts w:ascii="Verdana" w:hAnsi="Verdana" w:cs="Verdana"/>
          <w:b/>
          <w:bCs/>
          <w:i w:val="0"/>
          <w:iCs w:val="0"/>
          <w:snapToGrid/>
          <w:spacing w:val="-1"/>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56"/>
    <w:rsid w:val="004218AB"/>
    <w:rsid w:val="004B47C8"/>
    <w:rsid w:val="006629D8"/>
    <w:rsid w:val="00B56A56"/>
    <w:rsid w:val="00CE58FC"/>
    <w:rsid w:val="00F21E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6A489"/>
  <w14:defaultImageDpi w14:val="0"/>
  <w15:docId w15:val="{2BB7A869-1223-4DE9-870A-5EDA4AAD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4B47C8"/>
    <w:pPr>
      <w:keepNext/>
      <w:widowControl/>
      <w:autoSpaceDE/>
      <w:autoSpaceDN/>
      <w:adjustRightInd/>
      <w:spacing w:before="240" w:after="60"/>
      <w:ind w:left="851" w:right="851"/>
      <w:jc w:val="both"/>
      <w:outlineLvl w:val="0"/>
    </w:pPr>
    <w:rPr>
      <w:rFonts w:ascii="Arial" w:eastAsia="Times New Roman"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47C8"/>
    <w:rPr>
      <w:rFonts w:ascii="Arial" w:eastAsia="Times New Roman" w:hAnsi="Arial" w:cs="Arial"/>
      <w:b/>
      <w:bCs/>
      <w:kern w:val="32"/>
      <w:sz w:val="32"/>
      <w:szCs w:val="32"/>
    </w:rPr>
  </w:style>
  <w:style w:type="paragraph" w:styleId="Sinespaciado">
    <w:name w:val="No Spacing"/>
    <w:link w:val="SinespaciadoCar"/>
    <w:uiPriority w:val="1"/>
    <w:qFormat/>
    <w:rsid w:val="004B47C8"/>
    <w:pPr>
      <w:widowControl w:val="0"/>
      <w:kinsoku w:val="0"/>
      <w:spacing w:after="0" w:line="240" w:lineRule="auto"/>
      <w:ind w:left="851" w:right="851"/>
      <w:jc w:val="both"/>
    </w:pPr>
    <w:rPr>
      <w:rFonts w:ascii="Times New Roman" w:hAnsi="Times New Roman" w:cs="Times New Roman"/>
      <w:sz w:val="24"/>
      <w:szCs w:val="24"/>
      <w:lang w:val="en-US"/>
    </w:rPr>
  </w:style>
  <w:style w:type="character" w:customStyle="1" w:styleId="SinespaciadoCar">
    <w:name w:val="Sin espaciado Car"/>
    <w:link w:val="Sinespaciado"/>
    <w:uiPriority w:val="1"/>
    <w:rsid w:val="004B47C8"/>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3937</Words>
  <Characters>20656</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Argüello</cp:lastModifiedBy>
  <cp:revision>2</cp:revision>
  <dcterms:created xsi:type="dcterms:W3CDTF">2020-05-06T15:12:00Z</dcterms:created>
  <dcterms:modified xsi:type="dcterms:W3CDTF">2020-05-06T15:12:00Z</dcterms:modified>
</cp:coreProperties>
</file>